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afterLines="0" w:line="312" w:lineRule="auto"/>
        <w:jc w:val="center"/>
        <w:rPr>
          <w:rFonts w:ascii="宋体" w:cs="宋体"/>
          <w:b/>
          <w:bCs/>
          <w:kern w:val="0"/>
          <w:sz w:val="44"/>
          <w:szCs w:val="44"/>
        </w:rPr>
      </w:pPr>
      <w:bookmarkStart w:id="0" w:name="OLE_LINK3"/>
      <w:bookmarkStart w:id="1" w:name="OLE_LINK4"/>
      <w:bookmarkStart w:id="2" w:name="OLE_LINK1"/>
      <w:bookmarkStart w:id="3" w:name="OLE_LINK2"/>
      <w:r>
        <w:rPr>
          <w:rFonts w:ascii="宋体" w:cs="宋体"/>
          <w:b/>
          <w:bCs/>
          <w:kern w:val="0"/>
          <w:sz w:val="44"/>
          <w:szCs w:val="44"/>
        </w:rPr>
        <w:pict>
          <v:shape id="_x0000_s1026" o:spid="_x0000_s1026" o:spt="202" type="#_x0000_t202" style="position:absolute;left:0pt;margin-left:4.1pt;margin-top:0.25pt;height:85.8pt;width:400.2pt;z-index:251659264;mso-width-relative:page;mso-height-relative:page;" filled="f" stroked="f" coordsize="21600,21600">
            <v:path/>
            <v:fill on="f" focussize="0,0"/>
            <v:stroke on="f"/>
            <v:imagedata o:title=""/>
            <o:lock v:ext="edit"/>
            <v:textbox>
              <w:txbxContent>
                <w:p>
                  <w:pPr>
                    <w:spacing w:after="312"/>
                    <w:rPr>
                      <w:rFonts w:ascii="新宋体" w:hAnsi="新宋体" w:eastAsia="新宋体"/>
                      <w:b/>
                      <w:color w:val="FF0000"/>
                      <w:spacing w:val="-20"/>
                      <w:sz w:val="100"/>
                      <w:szCs w:val="100"/>
                    </w:rPr>
                  </w:pPr>
                  <w:r>
                    <w:rPr>
                      <w:rFonts w:hint="eastAsia" w:ascii="新宋体" w:hAnsi="新宋体" w:eastAsia="新宋体"/>
                      <w:b/>
                      <w:color w:val="FF0000"/>
                      <w:spacing w:val="-20"/>
                      <w:sz w:val="100"/>
                      <w:szCs w:val="100"/>
                    </w:rPr>
                    <w:t>华容县教育体育局</w:t>
                  </w:r>
                </w:p>
              </w:txbxContent>
            </v:textbox>
          </v:shape>
        </w:pict>
      </w:r>
    </w:p>
    <w:p>
      <w:pPr>
        <w:widowControl/>
        <w:snapToGrid w:val="0"/>
        <w:spacing w:afterLines="0" w:line="312" w:lineRule="auto"/>
        <w:jc w:val="center"/>
        <w:rPr>
          <w:rFonts w:ascii="宋体" w:cs="宋体"/>
          <w:b/>
          <w:bCs/>
          <w:kern w:val="0"/>
          <w:sz w:val="44"/>
          <w:szCs w:val="44"/>
        </w:rPr>
      </w:pPr>
    </w:p>
    <w:p>
      <w:pPr>
        <w:widowControl/>
        <w:snapToGrid w:val="0"/>
        <w:spacing w:afterLines="0" w:line="312" w:lineRule="auto"/>
        <w:jc w:val="center"/>
        <w:rPr>
          <w:rFonts w:hint="eastAsia" w:ascii="宋体" w:hAnsi="宋体"/>
          <w:b/>
          <w:sz w:val="44"/>
          <w:szCs w:val="44"/>
        </w:rPr>
      </w:pPr>
      <w:r>
        <w:rPr>
          <w:rFonts w:ascii="宋体" w:cs="宋体"/>
          <w:b/>
          <w:bCs/>
          <w:kern w:val="0"/>
          <w:sz w:val="44"/>
          <w:szCs w:val="44"/>
        </w:rPr>
        <w:pict>
          <v:line id="_x0000_s1027" o:spid="_x0000_s1027" o:spt="20" style="position:absolute;left:0pt;margin-left:-1.85pt;margin-top:21.95pt;height:0pt;width:432pt;z-index:251660288;mso-width-relative:page;mso-height-relative:page;" coordsize="21600,21600">
            <v:path arrowok="t"/>
            <v:fill focussize="0,0"/>
            <v:stroke weight="3pt" color="#FF0000"/>
            <v:imagedata o:title=""/>
            <o:lock v:ext="edit"/>
          </v:line>
        </w:pict>
      </w:r>
      <w:r>
        <w:rPr>
          <w:rFonts w:ascii="仿宋" w:hAnsi="仿宋" w:eastAsia="仿宋"/>
          <w:sz w:val="32"/>
          <w:szCs w:val="32"/>
        </w:rPr>
        <w:t xml:space="preserve">                                </w:t>
      </w:r>
      <w:bookmarkEnd w:id="0"/>
      <w:bookmarkEnd w:id="1"/>
      <w:bookmarkEnd w:id="2"/>
      <w:bookmarkEnd w:id="3"/>
    </w:p>
    <w:p>
      <w:pPr>
        <w:snapToGrid w:val="0"/>
        <w:spacing w:line="336" w:lineRule="auto"/>
        <w:jc w:val="center"/>
        <w:rPr>
          <w:rFonts w:ascii="仿宋_GB2312" w:hAnsi="宋体" w:eastAsia="仿宋_GB2312"/>
          <w:sz w:val="32"/>
          <w:szCs w:val="32"/>
        </w:rPr>
      </w:pPr>
      <w:r>
        <w:rPr>
          <w:rFonts w:hint="eastAsia" w:ascii="仿宋_GB2312" w:hAnsi="宋体" w:eastAsia="仿宋_GB2312"/>
          <w:sz w:val="32"/>
          <w:szCs w:val="32"/>
        </w:rPr>
        <w:t>华教体发</w:t>
      </w:r>
      <w:r>
        <w:rPr>
          <w:rFonts w:hint="eastAsia" w:ascii="仿宋_GB2312" w:hAnsi="仿宋_GB2312" w:eastAsia="仿宋_GB2312" w:cs="仿宋_GB2312"/>
          <w:sz w:val="32"/>
          <w:szCs w:val="32"/>
        </w:rPr>
        <w:t>〔</w:t>
      </w:r>
      <w:r>
        <w:rPr>
          <w:rFonts w:ascii="仿宋_GB2312" w:hAnsi="宋体" w:eastAsia="仿宋_GB2312"/>
          <w:sz w:val="32"/>
          <w:szCs w:val="32"/>
        </w:rPr>
        <w:t>2020</w:t>
      </w:r>
      <w:r>
        <w:rPr>
          <w:rFonts w:hint="eastAsia" w:ascii="仿宋_GB2312" w:hAnsi="仿宋_GB2312" w:eastAsia="仿宋_GB2312" w:cs="仿宋_GB2312"/>
          <w:sz w:val="32"/>
          <w:szCs w:val="32"/>
        </w:rPr>
        <w:t>〕</w:t>
      </w:r>
      <w:r>
        <w:rPr>
          <w:rFonts w:ascii="仿宋_GB2312" w:hAnsi="宋体" w:eastAsia="仿宋_GB2312"/>
          <w:sz w:val="32"/>
          <w:szCs w:val="32"/>
        </w:rPr>
        <w:t>2</w:t>
      </w:r>
      <w:r>
        <w:rPr>
          <w:rFonts w:hint="eastAsia" w:ascii="仿宋_GB2312" w:hAnsi="宋体" w:eastAsia="仿宋_GB2312"/>
          <w:sz w:val="32"/>
          <w:szCs w:val="32"/>
        </w:rPr>
        <w:t>号</w:t>
      </w:r>
    </w:p>
    <w:p>
      <w:pPr>
        <w:snapToGrid w:val="0"/>
        <w:spacing w:line="336" w:lineRule="auto"/>
        <w:jc w:val="center"/>
        <w:rPr>
          <w:rFonts w:ascii="仿宋_GB2312" w:hAnsi="宋体" w:eastAsia="仿宋_GB2312"/>
          <w:sz w:val="32"/>
          <w:szCs w:val="32"/>
        </w:rPr>
      </w:pPr>
    </w:p>
    <w:p>
      <w:pPr>
        <w:snapToGrid w:val="0"/>
        <w:spacing w:line="336" w:lineRule="auto"/>
        <w:jc w:val="center"/>
        <w:rPr>
          <w:rFonts w:ascii="宋体"/>
          <w:b/>
          <w:sz w:val="32"/>
          <w:szCs w:val="44"/>
        </w:rPr>
      </w:pPr>
    </w:p>
    <w:p>
      <w:pPr>
        <w:widowControl/>
        <w:snapToGrid w:val="0"/>
        <w:spacing w:line="336" w:lineRule="auto"/>
        <w:jc w:val="center"/>
        <w:rPr>
          <w:rFonts w:ascii="宋体" w:cs="宋体"/>
          <w:b/>
          <w:bCs/>
          <w:kern w:val="0"/>
          <w:sz w:val="44"/>
          <w:szCs w:val="44"/>
        </w:rPr>
      </w:pPr>
      <w:r>
        <w:rPr>
          <w:rFonts w:hint="eastAsia" w:ascii="宋体" w:hAnsi="宋体" w:cs="宋体"/>
          <w:b/>
          <w:bCs/>
          <w:kern w:val="0"/>
          <w:sz w:val="44"/>
          <w:szCs w:val="44"/>
        </w:rPr>
        <w:t>华容县教育体育局</w:t>
      </w:r>
    </w:p>
    <w:p>
      <w:pPr>
        <w:snapToGrid w:val="0"/>
        <w:spacing w:line="336" w:lineRule="auto"/>
        <w:jc w:val="center"/>
        <w:rPr>
          <w:rFonts w:ascii="宋体"/>
          <w:b/>
          <w:spacing w:val="-17"/>
          <w:w w:val="90"/>
          <w:sz w:val="44"/>
          <w:szCs w:val="44"/>
        </w:rPr>
      </w:pPr>
      <w:r>
        <w:rPr>
          <w:rFonts w:hint="eastAsia" w:ascii="宋体" w:hAnsi="宋体"/>
          <w:b/>
          <w:spacing w:val="-17"/>
          <w:w w:val="90"/>
          <w:sz w:val="44"/>
          <w:szCs w:val="44"/>
        </w:rPr>
        <w:t>关于印发《华容县教育体育局</w:t>
      </w:r>
      <w:r>
        <w:rPr>
          <w:rFonts w:ascii="宋体" w:hAnsi="宋体"/>
          <w:b/>
          <w:spacing w:val="-17"/>
          <w:w w:val="90"/>
          <w:sz w:val="44"/>
          <w:szCs w:val="44"/>
        </w:rPr>
        <w:t>2020</w:t>
      </w:r>
      <w:r>
        <w:rPr>
          <w:rFonts w:hint="eastAsia" w:ascii="宋体" w:hAnsi="宋体"/>
          <w:b/>
          <w:spacing w:val="-17"/>
          <w:w w:val="90"/>
          <w:sz w:val="44"/>
          <w:szCs w:val="44"/>
        </w:rPr>
        <w:t>年工作要点》的</w:t>
      </w:r>
    </w:p>
    <w:p>
      <w:pPr>
        <w:snapToGrid w:val="0"/>
        <w:spacing w:line="336" w:lineRule="auto"/>
        <w:jc w:val="center"/>
        <w:rPr>
          <w:rFonts w:ascii="宋体"/>
          <w:b/>
          <w:w w:val="80"/>
          <w:sz w:val="44"/>
          <w:szCs w:val="44"/>
        </w:rPr>
      </w:pPr>
      <w:r>
        <w:rPr>
          <w:rFonts w:hint="eastAsia" w:ascii="宋体" w:hAnsi="宋体"/>
          <w:b/>
          <w:w w:val="80"/>
          <w:sz w:val="44"/>
          <w:szCs w:val="44"/>
        </w:rPr>
        <w:t>通</w:t>
      </w:r>
      <w:r>
        <w:rPr>
          <w:rFonts w:ascii="宋体" w:hAnsi="宋体"/>
          <w:b/>
          <w:w w:val="80"/>
          <w:sz w:val="44"/>
          <w:szCs w:val="44"/>
        </w:rPr>
        <w:t xml:space="preserve">               </w:t>
      </w:r>
      <w:r>
        <w:rPr>
          <w:rFonts w:hint="eastAsia" w:ascii="宋体" w:hAnsi="宋体"/>
          <w:b/>
          <w:w w:val="80"/>
          <w:sz w:val="44"/>
          <w:szCs w:val="44"/>
        </w:rPr>
        <w:t>知</w:t>
      </w:r>
    </w:p>
    <w:p>
      <w:pPr>
        <w:widowControl/>
        <w:snapToGrid w:val="0"/>
        <w:spacing w:line="336" w:lineRule="auto"/>
        <w:jc w:val="left"/>
        <w:rPr>
          <w:rFonts w:ascii="仿宋_GB2312" w:hAnsi="宋体" w:eastAsia="仿宋_GB2312"/>
          <w:sz w:val="32"/>
          <w:szCs w:val="32"/>
        </w:rPr>
      </w:pPr>
    </w:p>
    <w:p>
      <w:pPr>
        <w:widowControl/>
        <w:snapToGrid w:val="0"/>
        <w:spacing w:line="336" w:lineRule="auto"/>
        <w:jc w:val="left"/>
        <w:rPr>
          <w:rFonts w:ascii="宋体" w:cs="宋体"/>
          <w:kern w:val="0"/>
          <w:sz w:val="24"/>
        </w:rPr>
      </w:pPr>
      <w:r>
        <w:rPr>
          <w:rFonts w:hint="eastAsia" w:ascii="仿宋_GB2312" w:hAnsi="宋体" w:eastAsia="仿宋_GB2312"/>
          <w:sz w:val="32"/>
          <w:szCs w:val="32"/>
        </w:rPr>
        <w:t>各乡镇中学、县直各学校，局直属二级机构、机关各股室</w:t>
      </w:r>
      <w:r>
        <w:rPr>
          <w:rFonts w:hint="eastAsia" w:ascii="仿宋_GB2312" w:hAnsi="宋体" w:eastAsia="仿宋_GB2312" w:cs="Arial"/>
          <w:kern w:val="0"/>
          <w:sz w:val="32"/>
          <w:szCs w:val="32"/>
        </w:rPr>
        <w:t>：</w:t>
      </w:r>
    </w:p>
    <w:p>
      <w:pPr>
        <w:widowControl/>
        <w:snapToGrid w:val="0"/>
        <w:spacing w:line="336" w:lineRule="auto"/>
        <w:ind w:firstLine="640" w:firstLineChars="200"/>
        <w:jc w:val="left"/>
        <w:rPr>
          <w:rFonts w:ascii="仿宋_GB2312" w:hAnsi="宋体" w:eastAsia="仿宋_GB2312"/>
          <w:sz w:val="32"/>
          <w:szCs w:val="32"/>
        </w:rPr>
      </w:pPr>
      <w:r>
        <w:rPr>
          <w:rFonts w:hint="eastAsia" w:ascii="仿宋_GB2312" w:hAnsi="宋体" w:eastAsia="仿宋_GB2312" w:cs="宋体"/>
          <w:kern w:val="0"/>
          <w:sz w:val="32"/>
          <w:szCs w:val="32"/>
        </w:rPr>
        <w:t>现将《华容县教育体育</w:t>
      </w:r>
      <w:r>
        <w:rPr>
          <w:rFonts w:hint="eastAsia" w:ascii="仿宋_GB2312" w:hAnsi="宋体" w:eastAsia="仿宋_GB2312"/>
          <w:sz w:val="32"/>
          <w:szCs w:val="32"/>
        </w:rPr>
        <w:t>局</w:t>
      </w:r>
      <w:r>
        <w:rPr>
          <w:rFonts w:ascii="仿宋_GB2312" w:hAnsi="宋体" w:eastAsia="仿宋_GB2312"/>
          <w:sz w:val="32"/>
          <w:szCs w:val="32"/>
        </w:rPr>
        <w:t>2020</w:t>
      </w:r>
      <w:r>
        <w:rPr>
          <w:rFonts w:hint="eastAsia" w:ascii="仿宋_GB2312" w:hAnsi="宋体" w:eastAsia="仿宋_GB2312"/>
          <w:sz w:val="32"/>
          <w:szCs w:val="32"/>
        </w:rPr>
        <w:t>年工作要点》印发给你们，请结合实际，认真贯彻落实。</w:t>
      </w:r>
    </w:p>
    <w:p>
      <w:pPr>
        <w:widowControl/>
        <w:snapToGrid w:val="0"/>
        <w:spacing w:line="336" w:lineRule="auto"/>
        <w:jc w:val="left"/>
        <w:rPr>
          <w:rFonts w:ascii="仿宋_GB2312" w:hAnsi="宋体" w:eastAsia="仿宋_GB2312" w:cs="宋体"/>
          <w:kern w:val="0"/>
          <w:sz w:val="26"/>
          <w:szCs w:val="32"/>
        </w:rPr>
      </w:pPr>
    </w:p>
    <w:p>
      <w:pPr>
        <w:widowControl/>
        <w:snapToGrid w:val="0"/>
        <w:spacing w:line="336"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附件：</w:t>
      </w:r>
      <w:r>
        <w:rPr>
          <w:rFonts w:ascii="仿宋_GB2312" w:hAnsi="宋体" w:eastAsia="仿宋_GB2312" w:cs="宋体"/>
          <w:kern w:val="0"/>
          <w:sz w:val="32"/>
          <w:szCs w:val="32"/>
        </w:rPr>
        <w:t>1.</w:t>
      </w:r>
      <w:r>
        <w:rPr>
          <w:rFonts w:hint="eastAsia" w:ascii="仿宋_GB2312" w:hAnsi="宋体" w:eastAsia="仿宋_GB2312" w:cs="宋体"/>
          <w:kern w:val="0"/>
          <w:sz w:val="32"/>
          <w:szCs w:val="32"/>
        </w:rPr>
        <w:t>华容县教育体育局</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年重点工作行事历</w:t>
      </w:r>
    </w:p>
    <w:p>
      <w:pPr>
        <w:widowControl/>
        <w:snapToGrid w:val="0"/>
        <w:spacing w:line="336" w:lineRule="auto"/>
        <w:ind w:firstLine="1440" w:firstLineChars="450"/>
        <w:jc w:val="left"/>
        <w:rPr>
          <w:rFonts w:ascii="仿宋_GB2312" w:hAnsi="宋体" w:eastAsia="仿宋_GB2312" w:cs="宋体"/>
          <w:spacing w:val="-8"/>
          <w:kern w:val="0"/>
          <w:sz w:val="32"/>
          <w:szCs w:val="32"/>
        </w:rPr>
      </w:pPr>
      <w:r>
        <w:rPr>
          <w:rFonts w:ascii="仿宋" w:hAnsi="仿宋" w:eastAsia="仿宋"/>
          <w:sz w:val="32"/>
          <w:szCs w:val="32"/>
        </w:rPr>
        <w:pict>
          <v:shape id="_x0000_s1028" o:spid="_x0000_s1028" o:spt="75" alt="公章" type="#_x0000_t75" style="position:absolute;left:0pt;margin-left:230.35pt;margin-top:1.15pt;height:202.5pt;width:207.75pt;z-index:-251655168;mso-width-relative:page;mso-height-relative:page;" filled="f" o:preferrelative="t" stroked="f" coordsize="21600,21600">
            <v:path/>
            <v:fill on="f" focussize="0,0"/>
            <v:stroke on="f"/>
            <v:imagedata r:id="rId6" o:title="公章"/>
            <o:lock v:ext="edit" aspectratio="t"/>
          </v:shape>
        </w:pict>
      </w:r>
      <w:r>
        <w:rPr>
          <w:rFonts w:ascii="仿宋_GB2312" w:hAnsi="宋体" w:eastAsia="仿宋_GB2312" w:cs="宋体"/>
          <w:kern w:val="0"/>
          <w:sz w:val="32"/>
          <w:szCs w:val="32"/>
        </w:rPr>
        <w:t xml:space="preserve"> 2.</w:t>
      </w:r>
      <w:r>
        <w:rPr>
          <w:rFonts w:hint="eastAsia" w:ascii="仿宋_GB2312" w:hAnsi="宋体" w:eastAsia="仿宋_GB2312" w:cs="宋体"/>
          <w:kern w:val="0"/>
          <w:sz w:val="32"/>
          <w:szCs w:val="32"/>
        </w:rPr>
        <w:t>华</w:t>
      </w:r>
      <w:r>
        <w:rPr>
          <w:rFonts w:hint="eastAsia" w:ascii="仿宋_GB2312" w:hAnsi="宋体" w:eastAsia="仿宋_GB2312" w:cs="宋体"/>
          <w:spacing w:val="-8"/>
          <w:kern w:val="0"/>
          <w:sz w:val="32"/>
          <w:szCs w:val="32"/>
        </w:rPr>
        <w:t>容县教育体育局</w:t>
      </w:r>
      <w:r>
        <w:rPr>
          <w:rFonts w:ascii="仿宋_GB2312" w:hAnsi="宋体" w:eastAsia="仿宋_GB2312" w:cs="宋体"/>
          <w:spacing w:val="-8"/>
          <w:kern w:val="0"/>
          <w:sz w:val="32"/>
          <w:szCs w:val="32"/>
        </w:rPr>
        <w:t>2020</w:t>
      </w:r>
      <w:r>
        <w:rPr>
          <w:rFonts w:hint="eastAsia" w:ascii="仿宋_GB2312" w:hAnsi="宋体" w:eastAsia="仿宋_GB2312" w:cs="宋体"/>
          <w:spacing w:val="-8"/>
          <w:kern w:val="0"/>
          <w:sz w:val="32"/>
          <w:szCs w:val="32"/>
        </w:rPr>
        <w:t>年度重点工作任务分解表</w:t>
      </w:r>
    </w:p>
    <w:p>
      <w:pPr>
        <w:widowControl/>
        <w:snapToGrid w:val="0"/>
        <w:spacing w:line="336" w:lineRule="auto"/>
        <w:ind w:firstLine="800" w:firstLineChars="250"/>
        <w:jc w:val="left"/>
        <w:rPr>
          <w:rFonts w:ascii="仿宋_GB2312" w:hAnsi="宋体" w:eastAsia="仿宋_GB2312"/>
          <w:sz w:val="32"/>
          <w:szCs w:val="32"/>
        </w:rPr>
      </w:pPr>
    </w:p>
    <w:p>
      <w:pPr>
        <w:widowControl/>
        <w:snapToGrid w:val="0"/>
        <w:spacing w:line="336" w:lineRule="auto"/>
        <w:ind w:firstLine="450" w:firstLineChars="250"/>
        <w:jc w:val="left"/>
        <w:rPr>
          <w:rFonts w:ascii="仿宋_GB2312" w:hAnsi="宋体" w:eastAsia="仿宋_GB2312"/>
          <w:sz w:val="18"/>
          <w:szCs w:val="32"/>
        </w:rPr>
      </w:pPr>
    </w:p>
    <w:p>
      <w:pPr>
        <w:widowControl/>
        <w:snapToGrid w:val="0"/>
        <w:spacing w:line="336" w:lineRule="auto"/>
        <w:ind w:firstLine="5280" w:firstLineChars="1650"/>
        <w:jc w:val="left"/>
        <w:rPr>
          <w:rFonts w:ascii="宋体" w:cs="宋体"/>
          <w:kern w:val="0"/>
          <w:sz w:val="12"/>
        </w:rPr>
      </w:pPr>
      <w:bookmarkStart w:id="4" w:name="_GoBack"/>
      <w:bookmarkEnd w:id="4"/>
      <w:r>
        <w:rPr>
          <w:rFonts w:hint="eastAsia" w:ascii="仿宋_GB2312" w:hAnsi="宋体" w:eastAsia="仿宋_GB2312"/>
          <w:sz w:val="32"/>
          <w:szCs w:val="32"/>
        </w:rPr>
        <w:t>华容县教育体育局</w:t>
      </w:r>
    </w:p>
    <w:p>
      <w:pPr>
        <w:widowControl/>
        <w:snapToGrid w:val="0"/>
        <w:spacing w:line="336" w:lineRule="auto"/>
        <w:ind w:firstLine="5440" w:firstLineChars="1700"/>
        <w:jc w:val="left"/>
        <w:rPr>
          <w:rFonts w:ascii="仿宋_GB2312" w:hAnsi="宋体" w:eastAsia="仿宋_GB2312" w:cs="宋体"/>
          <w:kern w:val="0"/>
          <w:sz w:val="32"/>
          <w:szCs w:val="32"/>
        </w:rPr>
      </w:pPr>
      <w:r>
        <w:rPr>
          <w:rFonts w:ascii="仿宋_GB2312" w:hAnsi="宋体" w:eastAsia="仿宋_GB2312" w:cs="宋体"/>
          <w:kern w:val="0"/>
          <w:sz w:val="32"/>
          <w:szCs w:val="32"/>
        </w:rPr>
        <w:t>2020</w:t>
      </w:r>
      <w:r>
        <w:rPr>
          <w:rFonts w:hint="eastAsia" w:ascii="仿宋_GB2312" w:hAnsi="宋体" w:eastAsia="仿宋_GB2312" w:cs="宋体"/>
          <w:kern w:val="0"/>
          <w:sz w:val="32"/>
          <w:szCs w:val="32"/>
        </w:rPr>
        <w:t>年</w:t>
      </w:r>
      <w:r>
        <w:rPr>
          <w:rFonts w:ascii="仿宋_GB2312" w:hAnsi="宋体" w:eastAsia="仿宋_GB2312" w:cs="宋体"/>
          <w:kern w:val="0"/>
          <w:sz w:val="32"/>
          <w:szCs w:val="32"/>
        </w:rPr>
        <w:t>4</w:t>
      </w:r>
      <w:r>
        <w:rPr>
          <w:rFonts w:hint="eastAsia" w:ascii="仿宋_GB2312" w:hAnsi="宋体" w:eastAsia="仿宋_GB2312" w:cs="宋体"/>
          <w:kern w:val="0"/>
          <w:sz w:val="32"/>
          <w:szCs w:val="32"/>
        </w:rPr>
        <w:t>月</w:t>
      </w:r>
      <w:r>
        <w:rPr>
          <w:rFonts w:ascii="仿宋_GB2312" w:hAnsi="宋体" w:eastAsia="仿宋_GB2312" w:cs="宋体"/>
          <w:kern w:val="0"/>
          <w:sz w:val="32"/>
          <w:szCs w:val="32"/>
        </w:rPr>
        <w:t>3</w:t>
      </w:r>
      <w:r>
        <w:rPr>
          <w:rFonts w:hint="eastAsia" w:ascii="仿宋_GB2312" w:hAnsi="宋体" w:eastAsia="仿宋_GB2312" w:cs="宋体"/>
          <w:kern w:val="0"/>
          <w:sz w:val="32"/>
          <w:szCs w:val="32"/>
        </w:rPr>
        <w:t>日</w:t>
      </w:r>
    </w:p>
    <w:p>
      <w:pPr>
        <w:autoSpaceDE w:val="0"/>
        <w:snapToGrid w:val="0"/>
        <w:spacing w:line="336" w:lineRule="auto"/>
        <w:jc w:val="center"/>
      </w:pPr>
      <w:r>
        <w:br w:type="page"/>
      </w:r>
    </w:p>
    <w:p>
      <w:pPr>
        <w:autoSpaceDE w:val="0"/>
        <w:snapToGrid w:val="0"/>
        <w:spacing w:line="336" w:lineRule="auto"/>
        <w:jc w:val="center"/>
        <w:rPr>
          <w:rFonts w:ascii="宋体"/>
          <w:b/>
          <w:bCs/>
          <w:sz w:val="44"/>
          <w:szCs w:val="44"/>
        </w:rPr>
      </w:pPr>
      <w:r>
        <w:rPr>
          <w:rFonts w:hint="eastAsia" w:ascii="宋体" w:hAnsi="宋体"/>
          <w:b/>
          <w:bCs/>
          <w:sz w:val="44"/>
          <w:szCs w:val="44"/>
        </w:rPr>
        <w:t>华容县教育体育局</w:t>
      </w:r>
      <w:r>
        <w:rPr>
          <w:rFonts w:ascii="宋体" w:hAnsi="宋体"/>
          <w:b/>
          <w:bCs/>
          <w:sz w:val="44"/>
          <w:szCs w:val="44"/>
        </w:rPr>
        <w:t>2020</w:t>
      </w:r>
      <w:r>
        <w:rPr>
          <w:rFonts w:hint="eastAsia" w:ascii="宋体" w:hAnsi="宋体"/>
          <w:b/>
          <w:bCs/>
          <w:sz w:val="44"/>
          <w:szCs w:val="44"/>
        </w:rPr>
        <w:t>年工作要点</w:t>
      </w:r>
    </w:p>
    <w:p>
      <w:pPr>
        <w:autoSpaceDE w:val="0"/>
        <w:snapToGrid w:val="0"/>
        <w:spacing w:line="336" w:lineRule="auto"/>
        <w:ind w:firstLine="640" w:firstLineChars="200"/>
        <w:rPr>
          <w:rFonts w:ascii="仿宋_GB2312" w:eastAsia="仿宋_GB2312"/>
          <w:sz w:val="24"/>
          <w:szCs w:val="32"/>
        </w:rPr>
      </w:pPr>
      <w:r>
        <w:rPr>
          <w:rFonts w:ascii="仿宋_GB2312" w:eastAsia="仿宋_GB2312"/>
          <w:sz w:val="32"/>
          <w:szCs w:val="32"/>
        </w:rPr>
        <w:t xml:space="preserve"> </w:t>
      </w:r>
    </w:p>
    <w:p>
      <w:pPr>
        <w:autoSpaceDE w:val="0"/>
        <w:snapToGrid w:val="0"/>
        <w:spacing w:line="336" w:lineRule="auto"/>
        <w:ind w:firstLine="640" w:firstLineChars="200"/>
        <w:rPr>
          <w:rFonts w:ascii="仿宋_GB2312" w:eastAsia="仿宋_GB2312"/>
          <w:sz w:val="32"/>
          <w:szCs w:val="32"/>
        </w:rPr>
      </w:pPr>
      <w:r>
        <w:rPr>
          <w:rFonts w:ascii="仿宋_GB2312" w:eastAsia="仿宋_GB2312"/>
          <w:sz w:val="32"/>
          <w:szCs w:val="32"/>
        </w:rPr>
        <w:t>2020</w:t>
      </w:r>
      <w:r>
        <w:rPr>
          <w:rFonts w:hint="eastAsia" w:ascii="仿宋_GB2312" w:eastAsia="仿宋_GB2312"/>
          <w:sz w:val="32"/>
          <w:szCs w:val="32"/>
        </w:rPr>
        <w:t>年全县教育体育工作的总体要求是：以习近平新时代中国特色社会主义思想为指导，全面贯彻党的教育方针，紧紧围绕县委、县政府总体工作部署，继续坚持安全和质量“两条主线”，深入推进“三立”教育和“两个快乐”计划，全面树立大教育观，探索建立政府、家庭、学校、社会“四位一体”的教育发展新机制，加快构建更具健康的教育生态、更具活力的教师队伍、更具竞争力的教学质量，努力办好人民满意的教育体育事业。</w:t>
      </w:r>
    </w:p>
    <w:p>
      <w:pPr>
        <w:autoSpaceDE w:val="0"/>
        <w:snapToGrid w:val="0"/>
        <w:spacing w:line="336" w:lineRule="auto"/>
        <w:ind w:firstLine="640" w:firstLineChars="200"/>
        <w:rPr>
          <w:rFonts w:ascii="黑体" w:hAnsi="黑体" w:eastAsia="黑体"/>
          <w:sz w:val="32"/>
          <w:szCs w:val="32"/>
        </w:rPr>
      </w:pPr>
      <w:r>
        <w:rPr>
          <w:rFonts w:hint="eastAsia" w:ascii="黑体" w:hAnsi="黑体" w:eastAsia="黑体"/>
          <w:sz w:val="32"/>
          <w:szCs w:val="32"/>
        </w:rPr>
        <w:t>一、聚焦根本任务，提高发展质量</w:t>
      </w:r>
    </w:p>
    <w:p>
      <w:pPr>
        <w:autoSpaceDE w:val="0"/>
        <w:snapToGrid w:val="0"/>
        <w:spacing w:line="336" w:lineRule="auto"/>
        <w:ind w:firstLine="643" w:firstLineChars="200"/>
        <w:rPr>
          <w:rFonts w:ascii="仿宋_GB2312" w:eastAsia="仿宋_GB2312"/>
          <w:sz w:val="32"/>
          <w:szCs w:val="32"/>
        </w:rPr>
      </w:pPr>
      <w:r>
        <w:rPr>
          <w:rFonts w:ascii="楷体_GB2312" w:eastAsia="楷体_GB2312"/>
          <w:b/>
          <w:bCs/>
          <w:sz w:val="32"/>
          <w:szCs w:val="32"/>
        </w:rPr>
        <w:t>1.</w:t>
      </w:r>
      <w:r>
        <w:rPr>
          <w:rFonts w:hint="eastAsia" w:ascii="楷体_GB2312" w:eastAsia="楷体_GB2312"/>
          <w:b/>
          <w:bCs/>
          <w:sz w:val="32"/>
          <w:szCs w:val="32"/>
        </w:rPr>
        <w:t>坚持立德树人。</w:t>
      </w:r>
      <w:r>
        <w:rPr>
          <w:rFonts w:hint="eastAsia" w:ascii="仿宋_GB2312" w:eastAsia="仿宋_GB2312"/>
          <w:sz w:val="32"/>
          <w:szCs w:val="32"/>
        </w:rPr>
        <w:t>加快推进学生综合性实践基地建设，丰富德育活动内容，把培育践行社会主义核心价值观、增强学生社会责任感作为重点任务贯穿到教育全过程。抓好爱国主义教育、习惯养成教育、感恩教育和心理健康教育等德育主题教育。重视家校共育，形成政府、家庭、学校、社会联动的立体德育教育网络。</w:t>
      </w:r>
    </w:p>
    <w:p>
      <w:pPr>
        <w:autoSpaceDE w:val="0"/>
        <w:snapToGrid w:val="0"/>
        <w:spacing w:line="336" w:lineRule="auto"/>
        <w:ind w:firstLine="643" w:firstLineChars="200"/>
        <w:rPr>
          <w:rFonts w:ascii="仿宋_GB2312" w:eastAsia="仿宋_GB2312"/>
          <w:sz w:val="32"/>
          <w:szCs w:val="32"/>
        </w:rPr>
      </w:pPr>
      <w:r>
        <w:rPr>
          <w:rFonts w:ascii="楷体_GB2312" w:eastAsia="楷体_GB2312"/>
          <w:b/>
          <w:bCs/>
          <w:sz w:val="32"/>
          <w:szCs w:val="32"/>
        </w:rPr>
        <w:t>2.</w:t>
      </w:r>
      <w:r>
        <w:rPr>
          <w:rFonts w:hint="eastAsia" w:ascii="楷体_GB2312" w:eastAsia="楷体_GB2312"/>
          <w:b/>
          <w:bCs/>
          <w:sz w:val="32"/>
          <w:szCs w:val="32"/>
        </w:rPr>
        <w:t>加强常规管理。</w:t>
      </w:r>
      <w:r>
        <w:rPr>
          <w:rFonts w:hint="eastAsia" w:ascii="仿宋_GB2312" w:eastAsia="仿宋_GB2312"/>
          <w:sz w:val="32"/>
          <w:szCs w:val="32"/>
        </w:rPr>
        <w:t>开展全县常规管理示范学校和达标学校评选，优化常规管理制度</w:t>
      </w:r>
      <w:r>
        <w:rPr>
          <w:rFonts w:ascii="仿宋_GB2312" w:eastAsia="仿宋_GB2312"/>
          <w:sz w:val="32"/>
          <w:szCs w:val="32"/>
        </w:rPr>
        <w:t>,</w:t>
      </w:r>
      <w:r>
        <w:rPr>
          <w:rFonts w:hint="eastAsia" w:ascii="仿宋_GB2312" w:eastAsia="仿宋_GB2312"/>
          <w:sz w:val="32"/>
          <w:szCs w:val="32"/>
        </w:rPr>
        <w:t>抓实过程管理</w:t>
      </w:r>
      <w:r>
        <w:rPr>
          <w:rFonts w:ascii="仿宋_GB2312" w:eastAsia="仿宋_GB2312"/>
          <w:sz w:val="32"/>
          <w:szCs w:val="32"/>
        </w:rPr>
        <w:t>,</w:t>
      </w:r>
      <w:r>
        <w:rPr>
          <w:rFonts w:hint="eastAsia" w:ascii="仿宋_GB2312" w:eastAsia="仿宋_GB2312"/>
          <w:sz w:val="32"/>
          <w:szCs w:val="32"/>
        </w:rPr>
        <w:t>加强监督反馈</w:t>
      </w:r>
      <w:r>
        <w:rPr>
          <w:rFonts w:ascii="仿宋_GB2312" w:eastAsia="仿宋_GB2312"/>
          <w:sz w:val="32"/>
          <w:szCs w:val="32"/>
        </w:rPr>
        <w:t>,</w:t>
      </w:r>
      <w:r>
        <w:rPr>
          <w:rFonts w:hint="eastAsia" w:ascii="仿宋_GB2312" w:eastAsia="仿宋_GB2312"/>
          <w:sz w:val="32"/>
          <w:szCs w:val="32"/>
        </w:rPr>
        <w:t>构建全面、全员、全程的常规管理机制。完善教育教学质量评价机制，落实常规管理督查整改“三查二报一看”（三查：局长室随访督查、督导股和督学责任区定期督查、学校例行督查；二报：督查情况当面通报、定期通报；一看：对“三查”中发现的问题下点下校进行“回头看”）制度，建立健全“挂牌销号”制度。</w:t>
      </w:r>
    </w:p>
    <w:p>
      <w:pPr>
        <w:autoSpaceDE w:val="0"/>
        <w:snapToGrid w:val="0"/>
        <w:spacing w:line="336" w:lineRule="auto"/>
        <w:ind w:firstLine="643" w:firstLineChars="200"/>
        <w:rPr>
          <w:rFonts w:ascii="仿宋_GB2312" w:eastAsia="仿宋_GB2312"/>
          <w:sz w:val="32"/>
          <w:szCs w:val="32"/>
        </w:rPr>
      </w:pPr>
      <w:r>
        <w:rPr>
          <w:rFonts w:ascii="楷体_GB2312" w:eastAsia="楷体_GB2312"/>
          <w:b/>
          <w:bCs/>
          <w:sz w:val="32"/>
          <w:szCs w:val="32"/>
        </w:rPr>
        <w:t>3.</w:t>
      </w:r>
      <w:r>
        <w:rPr>
          <w:rFonts w:hint="eastAsia" w:ascii="楷体_GB2312" w:eastAsia="楷体_GB2312"/>
          <w:b/>
          <w:bCs/>
          <w:sz w:val="32"/>
          <w:szCs w:val="32"/>
        </w:rPr>
        <w:t>强化教育科研。</w:t>
      </w:r>
      <w:r>
        <w:rPr>
          <w:rFonts w:hint="eastAsia" w:ascii="仿宋_GB2312" w:eastAsia="仿宋_GB2312"/>
          <w:sz w:val="32"/>
          <w:szCs w:val="32"/>
        </w:rPr>
        <w:t>加强教研队伍建设，完善专兼结合的教研员结构体系。重心下移，深入一线开展教学研究。加强课题研究，组织开展课题阶段性成果评选。加强新高考研究。充分发挥备课组、教研组、年级组的作用，健全校本教研制度。</w:t>
      </w:r>
    </w:p>
    <w:p>
      <w:pPr>
        <w:autoSpaceDE w:val="0"/>
        <w:snapToGrid w:val="0"/>
        <w:spacing w:line="336" w:lineRule="auto"/>
        <w:ind w:firstLine="643" w:firstLineChars="200"/>
        <w:rPr>
          <w:rFonts w:ascii="仿宋_GB2312" w:eastAsia="仿宋_GB2312"/>
          <w:sz w:val="32"/>
          <w:szCs w:val="32"/>
        </w:rPr>
      </w:pPr>
      <w:r>
        <w:rPr>
          <w:rFonts w:ascii="楷体_GB2312" w:eastAsia="楷体_GB2312"/>
          <w:b/>
          <w:bCs/>
          <w:sz w:val="32"/>
          <w:szCs w:val="32"/>
        </w:rPr>
        <w:t>4.</w:t>
      </w:r>
      <w:r>
        <w:rPr>
          <w:rFonts w:hint="eastAsia" w:ascii="楷体_GB2312" w:eastAsia="楷体_GB2312"/>
          <w:b/>
          <w:bCs/>
          <w:sz w:val="32"/>
          <w:szCs w:val="32"/>
        </w:rPr>
        <w:t>推进学前教育普惠发展。</w:t>
      </w:r>
      <w:r>
        <w:rPr>
          <w:rFonts w:hint="eastAsia" w:ascii="仿宋_GB2312" w:eastAsia="仿宋_GB2312"/>
          <w:sz w:val="32"/>
          <w:szCs w:val="32"/>
        </w:rPr>
        <w:t>深入开展幼儿园“小学化”专项治理，提高保教质量。做好普惠园分等定级评估工作。稳步推进城镇小区配套幼儿园治理。扎实开展城乡幼儿园结对帮扶活动。争创</w:t>
      </w:r>
      <w:r>
        <w:rPr>
          <w:rFonts w:ascii="仿宋_GB2312" w:eastAsia="仿宋_GB2312"/>
          <w:sz w:val="32"/>
          <w:szCs w:val="32"/>
        </w:rPr>
        <w:t>2</w:t>
      </w:r>
      <w:r>
        <w:rPr>
          <w:rFonts w:hint="eastAsia" w:ascii="仿宋_GB2312" w:eastAsia="仿宋_GB2312"/>
          <w:sz w:val="32"/>
          <w:szCs w:val="32"/>
        </w:rPr>
        <w:t>所省市级示范园。</w:t>
      </w:r>
    </w:p>
    <w:p>
      <w:pPr>
        <w:autoSpaceDE w:val="0"/>
        <w:snapToGrid w:val="0"/>
        <w:spacing w:line="336" w:lineRule="auto"/>
        <w:ind w:firstLine="643" w:firstLineChars="200"/>
        <w:rPr>
          <w:rFonts w:ascii="仿宋_GB2312" w:eastAsia="仿宋_GB2312"/>
          <w:sz w:val="32"/>
          <w:szCs w:val="32"/>
        </w:rPr>
      </w:pPr>
      <w:r>
        <w:rPr>
          <w:rFonts w:ascii="楷体_GB2312" w:eastAsia="楷体_GB2312"/>
          <w:b/>
          <w:bCs/>
          <w:sz w:val="32"/>
          <w:szCs w:val="32"/>
        </w:rPr>
        <w:t>5.</w:t>
      </w:r>
      <w:r>
        <w:rPr>
          <w:rFonts w:hint="eastAsia" w:ascii="楷体_GB2312" w:eastAsia="楷体_GB2312"/>
          <w:b/>
          <w:bCs/>
          <w:sz w:val="32"/>
          <w:szCs w:val="32"/>
        </w:rPr>
        <w:t>加快职业教育、成人教育和民办教育内涵发展。</w:t>
      </w:r>
      <w:r>
        <w:rPr>
          <w:rFonts w:hint="eastAsia" w:ascii="仿宋_GB2312" w:eastAsia="仿宋_GB2312"/>
          <w:sz w:val="32"/>
          <w:szCs w:val="32"/>
        </w:rPr>
        <w:t>全力落实农村中职教育扶贫攻坚计划，深化产教融合，加强校企合作，调优专业，打造品牌。职业中专争创全省中职卓越校。规范民办教育管理。落实成人教育各项工作任务。扎实开展全民终身学习周活动。</w:t>
      </w:r>
    </w:p>
    <w:p>
      <w:pPr>
        <w:autoSpaceDE w:val="0"/>
        <w:snapToGrid w:val="0"/>
        <w:spacing w:line="336" w:lineRule="auto"/>
        <w:ind w:firstLine="643" w:firstLineChars="200"/>
        <w:rPr>
          <w:rFonts w:ascii="仿宋_GB2312" w:eastAsia="仿宋_GB2312"/>
          <w:sz w:val="32"/>
          <w:szCs w:val="32"/>
        </w:rPr>
      </w:pPr>
      <w:r>
        <w:rPr>
          <w:rFonts w:ascii="楷体_GB2312" w:eastAsia="楷体_GB2312"/>
          <w:b/>
          <w:bCs/>
          <w:sz w:val="32"/>
          <w:szCs w:val="32"/>
        </w:rPr>
        <w:t>6.</w:t>
      </w:r>
      <w:r>
        <w:rPr>
          <w:rFonts w:hint="eastAsia" w:ascii="楷体_GB2312" w:eastAsia="楷体_GB2312"/>
          <w:b/>
          <w:bCs/>
          <w:sz w:val="32"/>
          <w:szCs w:val="32"/>
        </w:rPr>
        <w:t>加强体卫艺和国防教育。</w:t>
      </w:r>
      <w:r>
        <w:rPr>
          <w:rFonts w:hint="eastAsia" w:ascii="仿宋_GB2312" w:eastAsia="仿宋_GB2312"/>
          <w:sz w:val="32"/>
          <w:szCs w:val="32"/>
        </w:rPr>
        <w:t>全面开展阳光体育运动，有序组织各类体育、艺术竞赛活动，加强学生体质健康监测。抓好体育艺术“</w:t>
      </w:r>
      <w:r>
        <w:rPr>
          <w:rFonts w:ascii="仿宋_GB2312" w:eastAsia="仿宋_GB2312"/>
          <w:sz w:val="32"/>
          <w:szCs w:val="32"/>
        </w:rPr>
        <w:t>2+1</w:t>
      </w:r>
      <w:r>
        <w:rPr>
          <w:rFonts w:hint="eastAsia" w:ascii="仿宋_GB2312" w:eastAsia="仿宋_GB2312"/>
          <w:sz w:val="32"/>
          <w:szCs w:val="32"/>
        </w:rPr>
        <w:t>”测试。加强学生国防教育，抓实新生军训工作。切实加强新冠肺炎疫情防控工作，加大各类传染病防控知识宣传教育力度，确保师生生命安全和身体健康。落实《学校卫生工作条例》，强化学校卫生工作管理。</w:t>
      </w:r>
    </w:p>
    <w:p>
      <w:pPr>
        <w:autoSpaceDE w:val="0"/>
        <w:snapToGrid w:val="0"/>
        <w:spacing w:line="336" w:lineRule="auto"/>
        <w:ind w:firstLine="643" w:firstLineChars="200"/>
        <w:rPr>
          <w:rFonts w:ascii="仿宋_GB2312" w:eastAsia="仿宋_GB2312"/>
          <w:sz w:val="32"/>
          <w:szCs w:val="32"/>
        </w:rPr>
      </w:pPr>
      <w:r>
        <w:rPr>
          <w:rFonts w:ascii="楷体_GB2312" w:eastAsia="楷体_GB2312"/>
          <w:b/>
          <w:bCs/>
          <w:sz w:val="32"/>
          <w:szCs w:val="32"/>
        </w:rPr>
        <w:t>7.</w:t>
      </w:r>
      <w:r>
        <w:rPr>
          <w:rFonts w:hint="eastAsia" w:ascii="楷体_GB2312" w:eastAsia="楷体_GB2312"/>
          <w:b/>
          <w:bCs/>
          <w:sz w:val="32"/>
          <w:szCs w:val="32"/>
        </w:rPr>
        <w:t>加快推动体育事业发展。</w:t>
      </w:r>
      <w:r>
        <w:rPr>
          <w:rFonts w:hint="eastAsia" w:ascii="仿宋_GB2312" w:eastAsia="仿宋_GB2312"/>
          <w:sz w:val="32"/>
          <w:szCs w:val="32"/>
        </w:rPr>
        <w:t>加大全县公共体育设施建设、装配力度，大力推动马鞍山公园室外篮球场建设，稳步推进东山水库、华一水库和东湖湿地公园徒步走道建设。完成</w:t>
      </w:r>
      <w:r>
        <w:rPr>
          <w:rFonts w:ascii="仿宋_GB2312" w:eastAsia="仿宋_GB2312"/>
          <w:sz w:val="32"/>
          <w:szCs w:val="32"/>
        </w:rPr>
        <w:t>3</w:t>
      </w:r>
      <w:r>
        <w:rPr>
          <w:rFonts w:hint="eastAsia" w:ascii="仿宋_GB2312" w:eastAsia="仿宋_GB2312"/>
          <w:sz w:val="32"/>
          <w:szCs w:val="32"/>
        </w:rPr>
        <w:t>个社会足球场建设。创新体彩营销模式，进一步提高体彩销量。选拔培养跆拳道专业运动员，备战</w:t>
      </w:r>
      <w:r>
        <w:rPr>
          <w:rFonts w:ascii="仿宋_GB2312" w:eastAsia="仿宋_GB2312"/>
          <w:sz w:val="32"/>
          <w:szCs w:val="32"/>
        </w:rPr>
        <w:t>2020</w:t>
      </w:r>
      <w:r>
        <w:rPr>
          <w:rFonts w:hint="eastAsia" w:ascii="仿宋_GB2312" w:eastAsia="仿宋_GB2312"/>
          <w:sz w:val="32"/>
          <w:szCs w:val="32"/>
        </w:rPr>
        <w:t>年省运会。充分发挥协会、社团的主导作用，分层次开展形式多样的体育健身活动。组织好第四届“体彩杯”男子篮球联谊赛。</w:t>
      </w:r>
    </w:p>
    <w:p>
      <w:pPr>
        <w:autoSpaceDE w:val="0"/>
        <w:snapToGrid w:val="0"/>
        <w:spacing w:line="336" w:lineRule="auto"/>
        <w:ind w:firstLine="640" w:firstLineChars="200"/>
        <w:rPr>
          <w:rFonts w:ascii="黑体" w:hAnsi="黑体" w:eastAsia="黑体"/>
          <w:sz w:val="32"/>
          <w:szCs w:val="32"/>
        </w:rPr>
      </w:pPr>
      <w:r>
        <w:rPr>
          <w:rFonts w:hint="eastAsia" w:ascii="黑体" w:hAnsi="黑体" w:eastAsia="黑体"/>
          <w:sz w:val="32"/>
          <w:szCs w:val="32"/>
        </w:rPr>
        <w:t>二、聚焦队伍建设，激发发展活力</w:t>
      </w:r>
    </w:p>
    <w:p>
      <w:pPr>
        <w:autoSpaceDE w:val="0"/>
        <w:snapToGrid w:val="0"/>
        <w:spacing w:line="336" w:lineRule="auto"/>
        <w:ind w:firstLine="643" w:firstLineChars="200"/>
        <w:rPr>
          <w:rFonts w:ascii="仿宋_GB2312" w:eastAsia="仿宋_GB2312"/>
          <w:sz w:val="32"/>
          <w:szCs w:val="32"/>
        </w:rPr>
      </w:pPr>
      <w:r>
        <w:rPr>
          <w:rFonts w:ascii="楷体_GB2312" w:eastAsia="楷体_GB2312"/>
          <w:b/>
          <w:bCs/>
          <w:sz w:val="32"/>
          <w:szCs w:val="32"/>
        </w:rPr>
        <w:t>8.</w:t>
      </w:r>
      <w:r>
        <w:rPr>
          <w:rFonts w:hint="eastAsia" w:ascii="楷体_GB2312" w:eastAsia="楷体_GB2312"/>
          <w:b/>
          <w:bCs/>
          <w:sz w:val="32"/>
          <w:szCs w:val="32"/>
        </w:rPr>
        <w:t>加强党的领导和党风廉政建设。</w:t>
      </w:r>
      <w:r>
        <w:rPr>
          <w:rFonts w:hint="eastAsia" w:ascii="仿宋_GB2312" w:eastAsia="仿宋_GB2312"/>
          <w:sz w:val="32"/>
          <w:szCs w:val="32"/>
        </w:rPr>
        <w:t>深入学习贯彻党的十九届四中全会精神和习近平新时代中国特色社会主义思想、系列重要讲话精神，落实意识形态工作责任制，加快建立“不忘初心、牢记使命”主题教育长效机制，进一步加强党对教育体育工作的全面领导。依托“学习强国”平台，把学习教育融入日常、抓在经常。落实领导干部党风廉政建设“一岗双责”，全面压实从严治党主体责任和监督责任。深入落实中央“八项规定”精神，紧盯“四风”问题新动向，严肃查处顶风违纪行为。落实“三重一大”决策制度，围绕重点领域和关键环节加强廉政风险防控。灵活运用监督执纪“四种形态”，强化干部教师日常教育监管，全面推进从严治党和法治建设。</w:t>
      </w:r>
    </w:p>
    <w:p>
      <w:pPr>
        <w:autoSpaceDE w:val="0"/>
        <w:snapToGrid w:val="0"/>
        <w:spacing w:line="336" w:lineRule="auto"/>
        <w:ind w:firstLine="643" w:firstLineChars="200"/>
        <w:rPr>
          <w:rFonts w:ascii="仿宋_GB2312" w:eastAsia="仿宋_GB2312"/>
          <w:sz w:val="32"/>
          <w:szCs w:val="32"/>
        </w:rPr>
      </w:pPr>
      <w:r>
        <w:rPr>
          <w:rFonts w:ascii="楷体_GB2312" w:eastAsia="楷体_GB2312"/>
          <w:b/>
          <w:bCs/>
          <w:sz w:val="32"/>
          <w:szCs w:val="32"/>
        </w:rPr>
        <w:t>9.</w:t>
      </w:r>
      <w:r>
        <w:rPr>
          <w:rFonts w:hint="eastAsia" w:ascii="楷体_GB2312" w:eastAsia="楷体_GB2312"/>
          <w:b/>
          <w:bCs/>
          <w:sz w:val="32"/>
          <w:szCs w:val="32"/>
        </w:rPr>
        <w:t>强化师德师风建设。</w:t>
      </w:r>
      <w:r>
        <w:rPr>
          <w:rFonts w:hint="eastAsia" w:ascii="仿宋_GB2312" w:eastAsia="仿宋_GB2312"/>
          <w:sz w:val="32"/>
          <w:szCs w:val="32"/>
        </w:rPr>
        <w:t>以学习新时代教师职业行为十项准则系列文件为重点，认真宣传贯彻落实《关于加强和改进新时代师德师风建设的意见》《湖南省中小学教师违反职业道德行为处理实施办法（试行）》等相关文件精神，提升教师依法执教、规范执教能力，引导教师正确合理行使教育惩戒权。有计划地开展师德演讲比赛等系列活动，发掘师德典型，讲好师德故事。</w:t>
      </w:r>
    </w:p>
    <w:p>
      <w:pPr>
        <w:autoSpaceDE w:val="0"/>
        <w:snapToGrid w:val="0"/>
        <w:spacing w:line="336" w:lineRule="auto"/>
        <w:ind w:firstLine="643" w:firstLineChars="200"/>
        <w:rPr>
          <w:rFonts w:ascii="仿宋_GB2312" w:eastAsia="仿宋_GB2312"/>
          <w:sz w:val="32"/>
          <w:szCs w:val="32"/>
        </w:rPr>
      </w:pPr>
      <w:r>
        <w:rPr>
          <w:rFonts w:ascii="楷体_GB2312" w:eastAsia="楷体_GB2312"/>
          <w:b/>
          <w:bCs/>
          <w:sz w:val="32"/>
          <w:szCs w:val="32"/>
        </w:rPr>
        <w:t>10.</w:t>
      </w:r>
      <w:r>
        <w:rPr>
          <w:rFonts w:hint="eastAsia" w:ascii="楷体_GB2312" w:eastAsia="楷体_GB2312"/>
          <w:b/>
          <w:bCs/>
          <w:sz w:val="32"/>
          <w:szCs w:val="32"/>
        </w:rPr>
        <w:t>加大教师培养培训和补充力度。</w:t>
      </w:r>
      <w:r>
        <w:rPr>
          <w:rFonts w:hint="eastAsia" w:ascii="仿宋_GB2312" w:eastAsia="仿宋_GB2312"/>
          <w:sz w:val="32"/>
          <w:szCs w:val="32"/>
        </w:rPr>
        <w:t>继续实施“回乡计划”，积极组织师范院校校园招聘。加大国家、省级公费定向师范生培养力度，委托湖南理工学院、湖南民族职业学院培养一批定向师范生。开展第三批名师名校长评选。高标准实施中小学教师国培、省培、市培、县培计划。完善教师培训学分审核登记制度，做好学分审核登记工作。以校本培训为抓手，加强教师教学基本功训练。持续实施“种子计划”，继续选派干部教师到师大附中等省内名校跟班培训。采取选调挂职、交流换岗等方式加强青年后备干部培养。有计划开展青年教师写作竞赛、师德演讲等活动，全面提升青年教师综合素养。</w:t>
      </w:r>
    </w:p>
    <w:p>
      <w:pPr>
        <w:autoSpaceDE w:val="0"/>
        <w:snapToGrid w:val="0"/>
        <w:spacing w:line="336" w:lineRule="auto"/>
        <w:ind w:firstLine="643" w:firstLineChars="200"/>
        <w:rPr>
          <w:rFonts w:ascii="仿宋_GB2312" w:eastAsia="仿宋_GB2312"/>
          <w:sz w:val="32"/>
          <w:szCs w:val="32"/>
        </w:rPr>
      </w:pPr>
      <w:r>
        <w:rPr>
          <w:rFonts w:ascii="楷体_GB2312" w:eastAsia="楷体_GB2312"/>
          <w:b/>
          <w:bCs/>
          <w:sz w:val="32"/>
          <w:szCs w:val="32"/>
        </w:rPr>
        <w:t>11.</w:t>
      </w:r>
      <w:r>
        <w:rPr>
          <w:rFonts w:hint="eastAsia" w:ascii="楷体_GB2312" w:eastAsia="楷体_GB2312"/>
          <w:b/>
          <w:bCs/>
          <w:sz w:val="32"/>
          <w:szCs w:val="32"/>
        </w:rPr>
        <w:t>提升教师幸福指数。</w:t>
      </w:r>
      <w:r>
        <w:rPr>
          <w:rFonts w:hint="eastAsia" w:ascii="仿宋_GB2312" w:eastAsia="仿宋_GB2312"/>
          <w:sz w:val="32"/>
          <w:szCs w:val="32"/>
        </w:rPr>
        <w:t>深入落实“两个快乐”计划，开展第四届“体彩杯”教职工运动会、教师主题读书活动，丰富教师业余文化生活。抓好教代会建设，创建示范性“教工之家”。组织男教职工免费体检。建立乡村工作</w:t>
      </w:r>
      <w:r>
        <w:rPr>
          <w:rFonts w:ascii="仿宋_GB2312" w:eastAsia="仿宋_GB2312"/>
          <w:sz w:val="32"/>
          <w:szCs w:val="32"/>
        </w:rPr>
        <w:t>30</w:t>
      </w:r>
      <w:r>
        <w:rPr>
          <w:rFonts w:hint="eastAsia" w:ascii="仿宋_GB2312" w:eastAsia="仿宋_GB2312"/>
          <w:sz w:val="32"/>
          <w:szCs w:val="32"/>
        </w:rPr>
        <w:t>年教师奖励制度，开展好教师节表彰奖励系列活动，举办第二届感动华容教育颁奖典礼。</w:t>
      </w:r>
    </w:p>
    <w:p>
      <w:pPr>
        <w:autoSpaceDE w:val="0"/>
        <w:snapToGrid w:val="0"/>
        <w:spacing w:line="336" w:lineRule="auto"/>
        <w:ind w:firstLine="640" w:firstLineChars="200"/>
        <w:rPr>
          <w:rFonts w:ascii="黑体" w:hAnsi="黑体" w:eastAsia="黑体"/>
          <w:sz w:val="32"/>
          <w:szCs w:val="32"/>
        </w:rPr>
      </w:pPr>
      <w:r>
        <w:rPr>
          <w:rFonts w:hint="eastAsia" w:ascii="黑体" w:hAnsi="黑体" w:eastAsia="黑体"/>
          <w:sz w:val="32"/>
          <w:szCs w:val="32"/>
        </w:rPr>
        <w:t>三、聚焦改革创新，增强发展动力</w:t>
      </w:r>
    </w:p>
    <w:p>
      <w:pPr>
        <w:autoSpaceDE w:val="0"/>
        <w:snapToGrid w:val="0"/>
        <w:spacing w:line="336" w:lineRule="auto"/>
        <w:ind w:firstLine="643" w:firstLineChars="200"/>
        <w:rPr>
          <w:rFonts w:ascii="仿宋_GB2312" w:eastAsia="仿宋_GB2312"/>
          <w:sz w:val="32"/>
          <w:szCs w:val="32"/>
        </w:rPr>
      </w:pPr>
      <w:r>
        <w:rPr>
          <w:rFonts w:ascii="楷体_GB2312" w:eastAsia="楷体_GB2312"/>
          <w:b/>
          <w:bCs/>
          <w:sz w:val="32"/>
          <w:szCs w:val="32"/>
        </w:rPr>
        <w:t>12.</w:t>
      </w:r>
      <w:r>
        <w:rPr>
          <w:rFonts w:hint="eastAsia" w:ascii="楷体_GB2312" w:eastAsia="楷体_GB2312"/>
          <w:b/>
          <w:bCs/>
          <w:sz w:val="32"/>
          <w:szCs w:val="32"/>
        </w:rPr>
        <w:t>深化教育教学改革。</w:t>
      </w:r>
      <w:r>
        <w:rPr>
          <w:rFonts w:hint="eastAsia" w:ascii="仿宋_GB2312" w:eastAsia="仿宋_GB2312"/>
          <w:sz w:val="32"/>
          <w:szCs w:val="32"/>
        </w:rPr>
        <w:t>树立科学的教育质量观，加强美育、体育和劳动教育，积极构建德智体美劳全面培养的教育体系。健全义务教育质量评价标准和监测评估体系。完善选课走班教学管理机制和教育评价制度，推动高中学校多样化特色发展。加强中小学实验教学。</w:t>
      </w:r>
    </w:p>
    <w:p>
      <w:pPr>
        <w:autoSpaceDE w:val="0"/>
        <w:snapToGrid w:val="0"/>
        <w:spacing w:line="336" w:lineRule="auto"/>
        <w:ind w:firstLine="643" w:firstLineChars="200"/>
        <w:rPr>
          <w:rFonts w:ascii="仿宋_GB2312" w:eastAsia="仿宋_GB2312"/>
          <w:sz w:val="32"/>
          <w:szCs w:val="32"/>
        </w:rPr>
      </w:pPr>
      <w:r>
        <w:rPr>
          <w:rFonts w:ascii="楷体_GB2312" w:eastAsia="楷体_GB2312"/>
          <w:b/>
          <w:bCs/>
          <w:sz w:val="32"/>
          <w:szCs w:val="32"/>
        </w:rPr>
        <w:t>13.</w:t>
      </w:r>
      <w:r>
        <w:rPr>
          <w:rFonts w:hint="eastAsia" w:ascii="楷体_GB2312" w:eastAsia="楷体_GB2312"/>
          <w:b/>
          <w:bCs/>
          <w:sz w:val="32"/>
          <w:szCs w:val="32"/>
        </w:rPr>
        <w:t>稳步推进校联体建设。</w:t>
      </w:r>
      <w:r>
        <w:rPr>
          <w:rFonts w:hint="eastAsia" w:ascii="仿宋_GB2312" w:eastAsia="仿宋_GB2312"/>
          <w:sz w:val="32"/>
          <w:szCs w:val="32"/>
        </w:rPr>
        <w:t>按照“</w:t>
      </w:r>
      <w:r>
        <w:rPr>
          <w:rFonts w:ascii="仿宋_GB2312" w:eastAsia="仿宋_GB2312"/>
          <w:sz w:val="32"/>
          <w:szCs w:val="32"/>
        </w:rPr>
        <w:t>1+1+X</w:t>
      </w:r>
      <w:r>
        <w:rPr>
          <w:rFonts w:hint="eastAsia" w:ascii="仿宋_GB2312" w:eastAsia="仿宋_GB2312"/>
          <w:sz w:val="32"/>
          <w:szCs w:val="32"/>
        </w:rPr>
        <w:t>”（一所城区学校重点联盟一所乡村薄弱学校，帮扶多所村小）模式开展结对帮扶，建立“城帮乡，全覆盖”的城乡校联体教育联盟，促进城乡教育均衡发展。充分发挥省级示范高中的引领作用，推行集团化办学。</w:t>
      </w:r>
    </w:p>
    <w:p>
      <w:pPr>
        <w:autoSpaceDE w:val="0"/>
        <w:snapToGrid w:val="0"/>
        <w:spacing w:line="336" w:lineRule="auto"/>
        <w:ind w:firstLine="643" w:firstLineChars="200"/>
        <w:rPr>
          <w:rFonts w:ascii="仿宋_GB2312" w:eastAsia="仿宋_GB2312"/>
          <w:sz w:val="32"/>
          <w:szCs w:val="32"/>
        </w:rPr>
      </w:pPr>
      <w:r>
        <w:rPr>
          <w:rFonts w:ascii="楷体_GB2312" w:eastAsia="楷体_GB2312"/>
          <w:b/>
          <w:bCs/>
          <w:sz w:val="32"/>
          <w:szCs w:val="32"/>
        </w:rPr>
        <w:t>14.</w:t>
      </w:r>
      <w:r>
        <w:rPr>
          <w:rFonts w:hint="eastAsia" w:ascii="楷体_GB2312" w:eastAsia="楷体_GB2312"/>
          <w:b/>
          <w:bCs/>
          <w:sz w:val="32"/>
          <w:szCs w:val="32"/>
        </w:rPr>
        <w:t>创新开展教育督导工作。</w:t>
      </w:r>
      <w:r>
        <w:rPr>
          <w:rFonts w:hint="eastAsia" w:ascii="仿宋_GB2312" w:eastAsia="仿宋_GB2312"/>
          <w:sz w:val="32"/>
          <w:szCs w:val="32"/>
        </w:rPr>
        <w:t>深入落实《关于深化新时代教育督导体制机制改革的意见》精神，进一步理顺教育督导管理机制，改进教育督导方式方法。充分利用信息技术手段加强督导评估，提高督导工作实效。建立健全督导通报制度、问题清单反馈制度、“回头看”制度，强化督导结果运用。</w:t>
      </w:r>
    </w:p>
    <w:p>
      <w:pPr>
        <w:autoSpaceDE w:val="0"/>
        <w:snapToGrid w:val="0"/>
        <w:spacing w:line="336" w:lineRule="auto"/>
        <w:ind w:firstLine="643" w:firstLineChars="200"/>
        <w:rPr>
          <w:rFonts w:ascii="仿宋_GB2312" w:eastAsia="仿宋_GB2312"/>
          <w:sz w:val="32"/>
          <w:szCs w:val="32"/>
        </w:rPr>
      </w:pPr>
      <w:r>
        <w:rPr>
          <w:rFonts w:ascii="楷体_GB2312" w:eastAsia="楷体_GB2312"/>
          <w:b/>
          <w:bCs/>
          <w:sz w:val="32"/>
          <w:szCs w:val="32"/>
        </w:rPr>
        <w:t>15.</w:t>
      </w:r>
      <w:r>
        <w:rPr>
          <w:rFonts w:hint="eastAsia" w:ascii="楷体_GB2312" w:eastAsia="楷体_GB2312"/>
          <w:b/>
          <w:bCs/>
          <w:sz w:val="32"/>
          <w:szCs w:val="32"/>
        </w:rPr>
        <w:t>加快信息技术与教育教学融合应用。</w:t>
      </w:r>
      <w:r>
        <w:rPr>
          <w:rFonts w:hint="eastAsia" w:ascii="仿宋_GB2312" w:eastAsia="仿宋_GB2312"/>
          <w:sz w:val="32"/>
          <w:szCs w:val="32"/>
        </w:rPr>
        <w:t>开展教育信息化应用星级学校和优秀教师空间评选，巩固教育信息化常态应用成果。以网络联校群和数字校园建设为重点，进一步优化“云、网、端”建设；以湖南省教育信息化专项试点项目和创新应用“十百千万工程”示范项目为抓手，进一步推动教育信息化融合创新。</w:t>
      </w:r>
    </w:p>
    <w:p>
      <w:pPr>
        <w:autoSpaceDE w:val="0"/>
        <w:snapToGrid w:val="0"/>
        <w:spacing w:line="336" w:lineRule="auto"/>
        <w:ind w:firstLine="640" w:firstLineChars="200"/>
        <w:rPr>
          <w:rFonts w:ascii="黑体" w:hAnsi="黑体" w:eastAsia="黑体"/>
          <w:sz w:val="32"/>
          <w:szCs w:val="32"/>
        </w:rPr>
      </w:pPr>
      <w:r>
        <w:rPr>
          <w:rFonts w:hint="eastAsia" w:ascii="黑体" w:hAnsi="黑体" w:eastAsia="黑体"/>
          <w:sz w:val="32"/>
          <w:szCs w:val="32"/>
        </w:rPr>
        <w:t>四、聚焦事业保障，夯实发展基础</w:t>
      </w:r>
    </w:p>
    <w:p>
      <w:pPr>
        <w:autoSpaceDE w:val="0"/>
        <w:snapToGrid w:val="0"/>
        <w:spacing w:line="336" w:lineRule="auto"/>
        <w:ind w:firstLine="643" w:firstLineChars="200"/>
        <w:rPr>
          <w:rFonts w:ascii="仿宋_GB2312" w:eastAsia="仿宋_GB2312"/>
          <w:sz w:val="32"/>
          <w:szCs w:val="32"/>
        </w:rPr>
      </w:pPr>
      <w:r>
        <w:rPr>
          <w:rFonts w:ascii="楷体_GB2312" w:eastAsia="楷体_GB2312"/>
          <w:b/>
          <w:bCs/>
          <w:sz w:val="32"/>
          <w:szCs w:val="32"/>
        </w:rPr>
        <w:t>16.</w:t>
      </w:r>
      <w:r>
        <w:rPr>
          <w:rFonts w:hint="eastAsia" w:ascii="楷体_GB2312" w:eastAsia="楷体_GB2312"/>
          <w:b/>
          <w:bCs/>
          <w:sz w:val="32"/>
          <w:szCs w:val="32"/>
        </w:rPr>
        <w:t>强化安全稳定工作。</w:t>
      </w:r>
      <w:r>
        <w:rPr>
          <w:rFonts w:hint="eastAsia" w:ascii="仿宋_GB2312" w:eastAsia="仿宋_GB2312"/>
          <w:sz w:val="32"/>
          <w:szCs w:val="32"/>
        </w:rPr>
        <w:t>严格落实安全工作“一岗双责”要求，建立全覆盖的学校安全责任体系。抓好安全教育进课堂、学生“一日安全常规”等安全主题教育。完善安全隐患月报制度，落实重大事项隐患“一单四制”管理要求，深入推进校园安防“三项”建设。定期开展校车安全整治行动。全面升级校车监控系统，提升校车安全管理智能化水平。全面落实学校食品安全与营养健康管理规定，规范学校食堂、商店、超市管理。开展食安示范校创建，实施“阳光厨房”“明厨亮灶”工程，完成食堂实时监控和联网监管。深入推进扫黑除恶工作，开展校园周边治安综合治理，净化校园周边环境。坚持用法制思维、法制方式解决涉法、涉诉问题和安全稳定事件。</w:t>
      </w:r>
    </w:p>
    <w:p>
      <w:pPr>
        <w:autoSpaceDE w:val="0"/>
        <w:snapToGrid w:val="0"/>
        <w:spacing w:line="336" w:lineRule="auto"/>
        <w:ind w:firstLine="643" w:firstLineChars="200"/>
        <w:rPr>
          <w:rFonts w:ascii="仿宋_GB2312" w:eastAsia="仿宋_GB2312"/>
          <w:sz w:val="32"/>
          <w:szCs w:val="32"/>
        </w:rPr>
      </w:pPr>
      <w:r>
        <w:rPr>
          <w:rFonts w:ascii="楷体_GB2312" w:eastAsia="楷体_GB2312"/>
          <w:b/>
          <w:bCs/>
          <w:sz w:val="32"/>
          <w:szCs w:val="32"/>
        </w:rPr>
        <w:t>17.</w:t>
      </w:r>
      <w:r>
        <w:rPr>
          <w:rFonts w:hint="eastAsia" w:ascii="楷体_GB2312" w:eastAsia="楷体_GB2312"/>
          <w:b/>
          <w:bCs/>
          <w:sz w:val="32"/>
          <w:szCs w:val="32"/>
        </w:rPr>
        <w:t>全面提高经费使用效益。</w:t>
      </w:r>
      <w:r>
        <w:rPr>
          <w:rFonts w:hint="eastAsia" w:ascii="仿宋_GB2312" w:eastAsia="仿宋_GB2312"/>
          <w:sz w:val="32"/>
          <w:szCs w:val="32"/>
        </w:rPr>
        <w:t>科学编制经费预算方案，规范财务管理，完善内控制度，加强财务审核、校务公开等工作。切实做好各类审计工作，全面发挥教育审计监督作用。</w:t>
      </w:r>
    </w:p>
    <w:p>
      <w:pPr>
        <w:autoSpaceDE w:val="0"/>
        <w:snapToGrid w:val="0"/>
        <w:spacing w:line="336" w:lineRule="auto"/>
        <w:ind w:firstLine="643" w:firstLineChars="200"/>
        <w:rPr>
          <w:rFonts w:ascii="仿宋_GB2312" w:eastAsia="仿宋_GB2312"/>
          <w:sz w:val="32"/>
          <w:szCs w:val="32"/>
        </w:rPr>
      </w:pPr>
      <w:r>
        <w:rPr>
          <w:rFonts w:ascii="楷体_GB2312" w:eastAsia="楷体_GB2312"/>
          <w:b/>
          <w:bCs/>
          <w:sz w:val="32"/>
          <w:szCs w:val="32"/>
        </w:rPr>
        <w:t>18.</w:t>
      </w:r>
      <w:r>
        <w:rPr>
          <w:rFonts w:hint="eastAsia" w:ascii="楷体_GB2312" w:eastAsia="楷体_GB2312"/>
          <w:b/>
          <w:bCs/>
          <w:sz w:val="32"/>
          <w:szCs w:val="32"/>
        </w:rPr>
        <w:t>强化行业不正之风专项治理。</w:t>
      </w:r>
      <w:r>
        <w:rPr>
          <w:rFonts w:hint="eastAsia" w:ascii="仿宋_GB2312" w:eastAsia="仿宋_GB2312"/>
          <w:sz w:val="32"/>
          <w:szCs w:val="32"/>
        </w:rPr>
        <w:t>建立健全学生、家长和社会各界广泛参与的监督体系，以违规征订教辅材料、在职教师有偿补课、食堂违规经营等为重点，加大对行业不正之风的查处问责力度。统筹督导检查评比考核、社会事务进校园等事宜，切实减轻学校和教师负担。</w:t>
      </w:r>
    </w:p>
    <w:p>
      <w:pPr>
        <w:autoSpaceDE w:val="0"/>
        <w:snapToGrid w:val="0"/>
        <w:spacing w:line="336" w:lineRule="auto"/>
        <w:ind w:firstLine="643" w:firstLineChars="200"/>
        <w:rPr>
          <w:rFonts w:ascii="仿宋_GB2312" w:eastAsia="仿宋_GB2312"/>
          <w:sz w:val="32"/>
          <w:szCs w:val="32"/>
        </w:rPr>
      </w:pPr>
      <w:r>
        <w:rPr>
          <w:rFonts w:ascii="楷体_GB2312" w:eastAsia="楷体_GB2312"/>
          <w:b/>
          <w:bCs/>
          <w:sz w:val="32"/>
          <w:szCs w:val="32"/>
        </w:rPr>
        <w:t>19.</w:t>
      </w:r>
      <w:r>
        <w:rPr>
          <w:rFonts w:hint="eastAsia" w:ascii="楷体_GB2312" w:eastAsia="楷体_GB2312"/>
          <w:b/>
          <w:bCs/>
          <w:sz w:val="32"/>
          <w:szCs w:val="32"/>
        </w:rPr>
        <w:t>扎实开展教育扶贫工作。</w:t>
      </w:r>
      <w:r>
        <w:rPr>
          <w:rFonts w:hint="eastAsia" w:ascii="仿宋_GB2312" w:eastAsia="仿宋_GB2312"/>
          <w:sz w:val="32"/>
          <w:szCs w:val="32"/>
        </w:rPr>
        <w:t>完善学生资助体系，加强学生资助信息核对，分类建好教育精准扶贫“一单式”资助信息库，实现建档立卡等贫困学生资助全覆盖，确保“应助尽助”，打赢教育脱贫攻坚战。</w:t>
      </w:r>
    </w:p>
    <w:p>
      <w:pPr>
        <w:autoSpaceDE w:val="0"/>
        <w:snapToGrid w:val="0"/>
        <w:spacing w:line="336" w:lineRule="auto"/>
        <w:ind w:firstLine="643" w:firstLineChars="200"/>
        <w:rPr>
          <w:rFonts w:ascii="楷体_GB2312" w:eastAsia="楷体_GB2312"/>
          <w:b/>
          <w:bCs/>
          <w:sz w:val="32"/>
          <w:szCs w:val="32"/>
        </w:rPr>
      </w:pPr>
      <w:r>
        <w:rPr>
          <w:rFonts w:ascii="楷体_GB2312" w:eastAsia="楷体_GB2312"/>
          <w:b/>
          <w:bCs/>
          <w:sz w:val="32"/>
          <w:szCs w:val="32"/>
        </w:rPr>
        <w:t>20.</w:t>
      </w:r>
      <w:r>
        <w:rPr>
          <w:rFonts w:hint="eastAsia" w:ascii="楷体_GB2312" w:eastAsia="楷体_GB2312"/>
          <w:b/>
          <w:bCs/>
          <w:sz w:val="32"/>
          <w:szCs w:val="32"/>
        </w:rPr>
        <w:t>抓好招生考试工作。</w:t>
      </w:r>
      <w:r>
        <w:rPr>
          <w:rFonts w:hint="eastAsia" w:ascii="仿宋_GB2312" w:eastAsia="仿宋_GB2312"/>
          <w:sz w:val="32"/>
          <w:szCs w:val="32"/>
        </w:rPr>
        <w:t>严格落实义务教育阶段“免试就近入学”原则，进一步做好阳光招生工作。严格控制起始年级班额，全面完成义务教育阶段大班额和高中阶段超大班额化解任务。强化考试安全意识，加强考点标准化建设，确保各类招生考试万无一失。</w:t>
      </w:r>
    </w:p>
    <w:p>
      <w:pPr>
        <w:autoSpaceDE w:val="0"/>
        <w:snapToGrid w:val="0"/>
        <w:spacing w:line="336" w:lineRule="auto"/>
        <w:ind w:firstLine="643" w:firstLineChars="200"/>
        <w:rPr>
          <w:rFonts w:ascii="仿宋_GB2312" w:eastAsia="仿宋_GB2312"/>
          <w:sz w:val="32"/>
          <w:szCs w:val="32"/>
        </w:rPr>
      </w:pPr>
      <w:r>
        <w:rPr>
          <w:rFonts w:ascii="楷体_GB2312" w:eastAsia="楷体_GB2312"/>
          <w:b/>
          <w:bCs/>
          <w:sz w:val="32"/>
          <w:szCs w:val="32"/>
        </w:rPr>
        <w:t>21.</w:t>
      </w:r>
      <w:r>
        <w:rPr>
          <w:rFonts w:hint="eastAsia" w:ascii="楷体_GB2312" w:eastAsia="楷体_GB2312"/>
          <w:b/>
          <w:bCs/>
          <w:sz w:val="32"/>
          <w:szCs w:val="32"/>
        </w:rPr>
        <w:t>切实改善办学条件。</w:t>
      </w:r>
      <w:r>
        <w:rPr>
          <w:rFonts w:hint="eastAsia" w:ascii="仿宋_GB2312" w:eastAsia="仿宋_GB2312"/>
          <w:sz w:val="32"/>
          <w:szCs w:val="32"/>
        </w:rPr>
        <w:t>完成东山中心小学扩建、教师进修学校南校门改造及特教学校综合楼建设。完成</w:t>
      </w:r>
      <w:r>
        <w:rPr>
          <w:rFonts w:ascii="仿宋_GB2312" w:eastAsia="仿宋_GB2312"/>
          <w:sz w:val="32"/>
          <w:szCs w:val="32"/>
        </w:rPr>
        <w:t>2</w:t>
      </w:r>
      <w:r>
        <w:rPr>
          <w:rFonts w:hint="eastAsia" w:ascii="仿宋_GB2312" w:eastAsia="仿宋_GB2312"/>
          <w:sz w:val="32"/>
          <w:szCs w:val="32"/>
        </w:rPr>
        <w:t>所城区学校提质改造和</w:t>
      </w:r>
      <w:r>
        <w:rPr>
          <w:rFonts w:ascii="仿宋_GB2312" w:eastAsia="仿宋_GB2312"/>
          <w:sz w:val="32"/>
          <w:szCs w:val="32"/>
        </w:rPr>
        <w:t>2</w:t>
      </w:r>
      <w:r>
        <w:rPr>
          <w:rFonts w:hint="eastAsia" w:ascii="仿宋_GB2312" w:eastAsia="仿宋_GB2312"/>
          <w:sz w:val="32"/>
          <w:szCs w:val="32"/>
        </w:rPr>
        <w:t>所公办幼儿园建设。完成</w:t>
      </w:r>
      <w:r>
        <w:rPr>
          <w:rFonts w:ascii="仿宋_GB2312" w:eastAsia="仿宋_GB2312"/>
          <w:sz w:val="32"/>
          <w:szCs w:val="32"/>
        </w:rPr>
        <w:t>20</w:t>
      </w:r>
      <w:r>
        <w:rPr>
          <w:rFonts w:hint="eastAsia" w:ascii="仿宋_GB2312" w:eastAsia="仿宋_GB2312"/>
          <w:sz w:val="32"/>
          <w:szCs w:val="32"/>
        </w:rPr>
        <w:t>所乡镇中心小学、城区小规模学校图书集中装备。启动职业中专体育场馆建设，力争年内投入使用。启动城区标准化小学建设。</w:t>
      </w:r>
    </w:p>
    <w:p>
      <w:pPr>
        <w:autoSpaceDE w:val="0"/>
        <w:snapToGrid w:val="0"/>
        <w:spacing w:line="336" w:lineRule="auto"/>
        <w:ind w:firstLine="643" w:firstLineChars="200"/>
        <w:rPr>
          <w:rFonts w:ascii="仿宋_GB2312" w:eastAsia="仿宋_GB2312"/>
          <w:kern w:val="0"/>
          <w:sz w:val="32"/>
          <w:szCs w:val="32"/>
        </w:rPr>
      </w:pPr>
      <w:r>
        <w:rPr>
          <w:rFonts w:ascii="楷体_GB2312" w:eastAsia="楷体_GB2312"/>
          <w:b/>
          <w:bCs/>
          <w:sz w:val="32"/>
          <w:szCs w:val="32"/>
        </w:rPr>
        <w:t>22.</w:t>
      </w:r>
      <w:r>
        <w:rPr>
          <w:rFonts w:hint="eastAsia" w:ascii="楷体_GB2312" w:eastAsia="楷体_GB2312"/>
          <w:b/>
          <w:bCs/>
          <w:sz w:val="32"/>
          <w:szCs w:val="32"/>
        </w:rPr>
        <w:t>提升机关管理效能。</w:t>
      </w:r>
      <w:r>
        <w:rPr>
          <w:rFonts w:hint="eastAsia" w:ascii="仿宋_GB2312" w:eastAsia="仿宋_GB2312"/>
          <w:kern w:val="0"/>
          <w:sz w:val="32"/>
          <w:szCs w:val="32"/>
        </w:rPr>
        <w:t>进一步健全机关干部考勤制度，加强日常考核管理。认真做好新机关搬迁工作，加强机关文化建设，争创市级文明单位。认真做好人大代表建议和政协委员提案的办理答复工作。进一步加强阳光政务服务工作，切实做好群众、师生来电来信来访和网络舆情应对处置。切实做好教体系统新闻宣传、文明创建、应急管理等工作。</w:t>
      </w:r>
    </w:p>
    <w:p>
      <w:pPr>
        <w:snapToGrid w:val="0"/>
      </w:pPr>
      <w:r>
        <w:br w:type="page"/>
      </w:r>
      <w:r>
        <w:rPr>
          <w:rFonts w:hint="eastAsia"/>
        </w:rPr>
        <w:t>附件</w:t>
      </w:r>
      <w:r>
        <w:t>1</w:t>
      </w:r>
    </w:p>
    <w:p>
      <w:pPr>
        <w:snapToGrid w:val="0"/>
      </w:pPr>
    </w:p>
    <w:p>
      <w:pPr>
        <w:snapToGrid w:val="0"/>
        <w:jc w:val="center"/>
        <w:rPr>
          <w:rFonts w:ascii="宋体"/>
          <w:b/>
          <w:bCs/>
          <w:kern w:val="0"/>
          <w:sz w:val="40"/>
          <w:szCs w:val="44"/>
        </w:rPr>
      </w:pPr>
      <w:r>
        <w:rPr>
          <w:rFonts w:hint="eastAsia" w:ascii="宋体" w:hAnsi="宋体"/>
          <w:b/>
          <w:bCs/>
          <w:kern w:val="0"/>
          <w:sz w:val="40"/>
          <w:szCs w:val="44"/>
        </w:rPr>
        <w:t>华容县教育体育局</w:t>
      </w:r>
      <w:r>
        <w:rPr>
          <w:rFonts w:ascii="宋体" w:hAnsi="宋体"/>
          <w:b/>
          <w:bCs/>
          <w:kern w:val="0"/>
          <w:sz w:val="40"/>
          <w:szCs w:val="44"/>
        </w:rPr>
        <w:t>2020</w:t>
      </w:r>
      <w:r>
        <w:rPr>
          <w:rFonts w:hint="eastAsia" w:ascii="宋体" w:hAnsi="宋体"/>
          <w:b/>
          <w:bCs/>
          <w:kern w:val="0"/>
          <w:sz w:val="40"/>
          <w:szCs w:val="44"/>
        </w:rPr>
        <w:t>年重点工作行事历</w:t>
      </w:r>
    </w:p>
    <w:p>
      <w:pPr>
        <w:snapToGrid w:val="0"/>
        <w:jc w:val="center"/>
        <w:rPr>
          <w:rFonts w:ascii="宋体"/>
          <w:b/>
          <w:bCs/>
          <w:kern w:val="0"/>
          <w:sz w:val="22"/>
          <w:szCs w:val="22"/>
        </w:rPr>
      </w:pPr>
      <w:r>
        <w:rPr>
          <w:rFonts w:ascii="宋体"/>
          <w:b/>
          <w:bCs/>
          <w:kern w:val="0"/>
          <w:sz w:val="22"/>
          <w:szCs w:val="22"/>
        </w:rPr>
        <w:t xml:space="preserve"> </w:t>
      </w:r>
    </w:p>
    <w:tbl>
      <w:tblPr>
        <w:tblStyle w:val="4"/>
        <w:tblW w:w="94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0"/>
        <w:gridCol w:w="7253"/>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9" w:hRule="atLeast"/>
          <w:jc w:val="center"/>
        </w:trPr>
        <w:tc>
          <w:tcPr>
            <w:tcW w:w="640" w:type="dxa"/>
            <w:vAlign w:val="center"/>
          </w:tcPr>
          <w:p>
            <w:pPr>
              <w:widowControl/>
              <w:snapToGrid w:val="0"/>
              <w:jc w:val="center"/>
              <w:rPr>
                <w:rFonts w:ascii="仿宋_GB2312" w:hAnsi="宋体" w:eastAsia="仿宋_GB2312" w:cs="宋体"/>
                <w:b/>
                <w:bCs/>
                <w:kern w:val="0"/>
                <w:sz w:val="22"/>
              </w:rPr>
            </w:pPr>
            <w:r>
              <w:rPr>
                <w:rFonts w:hint="eastAsia" w:ascii="仿宋_GB2312" w:hAnsi="宋体" w:eastAsia="仿宋_GB2312" w:cs="宋体"/>
                <w:b/>
                <w:bCs/>
                <w:kern w:val="0"/>
                <w:sz w:val="22"/>
              </w:rPr>
              <w:t>时间</w:t>
            </w:r>
          </w:p>
        </w:tc>
        <w:tc>
          <w:tcPr>
            <w:tcW w:w="7253" w:type="dxa"/>
            <w:tcBorders>
              <w:left w:val="nil"/>
            </w:tcBorders>
            <w:vAlign w:val="center"/>
          </w:tcPr>
          <w:p>
            <w:pPr>
              <w:widowControl/>
              <w:snapToGrid w:val="0"/>
              <w:jc w:val="center"/>
              <w:rPr>
                <w:rFonts w:ascii="仿宋_GB2312" w:hAnsi="宋体" w:eastAsia="仿宋_GB2312" w:cs="宋体"/>
                <w:b/>
                <w:bCs/>
                <w:kern w:val="0"/>
                <w:sz w:val="22"/>
              </w:rPr>
            </w:pPr>
            <w:r>
              <w:rPr>
                <w:rFonts w:hint="eastAsia" w:ascii="仿宋_GB2312" w:hAnsi="宋体" w:eastAsia="仿宋_GB2312" w:cs="宋体"/>
                <w:b/>
                <w:bCs/>
                <w:kern w:val="0"/>
                <w:sz w:val="22"/>
              </w:rPr>
              <w:t>重</w:t>
            </w:r>
            <w:r>
              <w:rPr>
                <w:rFonts w:ascii="仿宋_GB2312" w:hAnsi="宋体" w:eastAsia="仿宋_GB2312" w:cs="宋体"/>
                <w:b/>
                <w:bCs/>
                <w:kern w:val="0"/>
                <w:sz w:val="22"/>
              </w:rPr>
              <w:t xml:space="preserve">  </w:t>
            </w:r>
            <w:r>
              <w:rPr>
                <w:rFonts w:hint="eastAsia" w:ascii="仿宋_GB2312" w:hAnsi="宋体" w:eastAsia="仿宋_GB2312" w:cs="宋体"/>
                <w:b/>
                <w:bCs/>
                <w:kern w:val="0"/>
                <w:sz w:val="22"/>
              </w:rPr>
              <w:t>点</w:t>
            </w:r>
            <w:r>
              <w:rPr>
                <w:rFonts w:ascii="仿宋_GB2312" w:hAnsi="宋体" w:eastAsia="仿宋_GB2312" w:cs="宋体"/>
                <w:b/>
                <w:bCs/>
                <w:kern w:val="0"/>
                <w:sz w:val="22"/>
              </w:rPr>
              <w:t xml:space="preserve">  </w:t>
            </w:r>
            <w:r>
              <w:rPr>
                <w:rFonts w:hint="eastAsia" w:ascii="仿宋_GB2312" w:hAnsi="宋体" w:eastAsia="仿宋_GB2312" w:cs="宋体"/>
                <w:b/>
                <w:bCs/>
                <w:kern w:val="0"/>
                <w:sz w:val="22"/>
              </w:rPr>
              <w:t>工</w:t>
            </w:r>
            <w:r>
              <w:rPr>
                <w:rFonts w:ascii="仿宋_GB2312" w:hAnsi="宋体" w:eastAsia="仿宋_GB2312" w:cs="宋体"/>
                <w:b/>
                <w:bCs/>
                <w:kern w:val="0"/>
                <w:sz w:val="22"/>
              </w:rPr>
              <w:t xml:space="preserve">  </w:t>
            </w:r>
            <w:r>
              <w:rPr>
                <w:rFonts w:hint="eastAsia" w:ascii="仿宋_GB2312" w:hAnsi="宋体" w:eastAsia="仿宋_GB2312" w:cs="宋体"/>
                <w:b/>
                <w:bCs/>
                <w:kern w:val="0"/>
                <w:sz w:val="22"/>
              </w:rPr>
              <w:t>作</w:t>
            </w:r>
          </w:p>
        </w:tc>
        <w:tc>
          <w:tcPr>
            <w:tcW w:w="1576" w:type="dxa"/>
            <w:tcBorders>
              <w:left w:val="nil"/>
            </w:tcBorders>
            <w:vAlign w:val="center"/>
          </w:tcPr>
          <w:p>
            <w:pPr>
              <w:widowControl/>
              <w:snapToGrid w:val="0"/>
              <w:jc w:val="center"/>
              <w:rPr>
                <w:rFonts w:ascii="仿宋_GB2312" w:hAnsi="宋体" w:eastAsia="仿宋_GB2312" w:cs="宋体"/>
                <w:b/>
                <w:bCs/>
                <w:kern w:val="0"/>
                <w:sz w:val="22"/>
              </w:rPr>
            </w:pPr>
            <w:r>
              <w:rPr>
                <w:rFonts w:hint="eastAsia" w:ascii="仿宋_GB2312" w:hAnsi="宋体" w:eastAsia="仿宋_GB2312" w:cs="宋体"/>
                <w:b/>
                <w:bCs/>
                <w:kern w:val="0"/>
                <w:sz w:val="22"/>
              </w:rPr>
              <w:t>责任股室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9" w:hRule="atLeast"/>
          <w:jc w:val="center"/>
        </w:trPr>
        <w:tc>
          <w:tcPr>
            <w:tcW w:w="640" w:type="dxa"/>
            <w:vMerge w:val="restart"/>
            <w:tcBorders>
              <w:top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一</w:t>
            </w:r>
          </w:p>
          <w:p>
            <w:pPr>
              <w:snapToGrid w:val="0"/>
              <w:jc w:val="center"/>
              <w:rPr>
                <w:rFonts w:ascii="仿宋_GB2312" w:hAnsi="仿宋" w:eastAsia="仿宋_GB2312" w:cs="Arial"/>
                <w:kern w:val="0"/>
                <w:sz w:val="22"/>
              </w:rPr>
            </w:pPr>
            <w:r>
              <w:rPr>
                <w:rFonts w:hint="eastAsia" w:ascii="仿宋_GB2312" w:hAnsi="仿宋" w:eastAsia="仿宋_GB2312" w:cs="Arial"/>
                <w:kern w:val="0"/>
                <w:sz w:val="22"/>
              </w:rPr>
              <w:t>月</w:t>
            </w: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组织省市县“三好学生”“优秀学生干部”评选推荐</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基教股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9"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开展民办培训机构假期办学行为督查</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职成股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9"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开展网络名师工作室建设与应用情况调研</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信息化办</w:t>
            </w:r>
          </w:p>
          <w:p>
            <w:pPr>
              <w:snapToGrid w:val="0"/>
              <w:jc w:val="center"/>
              <w:rPr>
                <w:rFonts w:ascii="仿宋_GB2312" w:hAnsi="仿宋" w:eastAsia="仿宋_GB2312" w:cs="Arial"/>
                <w:kern w:val="0"/>
                <w:sz w:val="22"/>
              </w:rPr>
            </w:pPr>
            <w:r>
              <w:rPr>
                <w:rFonts w:hint="eastAsia" w:ascii="仿宋_GB2312" w:hAnsi="仿宋" w:eastAsia="仿宋_GB2312" w:cs="Arial"/>
                <w:kern w:val="0"/>
                <w:sz w:val="22"/>
              </w:rPr>
              <w:t>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9"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组织教体系统财务人员培训</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计财股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9"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开展机关干部千分制考核和“八大标兵”评选；举办局机关年终总结表彰会</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9"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开展寒假期间学校安全及值班守校情况督查</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法制安全股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9"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开展特困教职工慰问</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9"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举办第三届“迎春杯”俱乐部男子篮球联谊赛</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社会体育股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9"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组织中小学期末考试及教学质量抽样检测</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4" w:hRule="atLeast"/>
          <w:jc w:val="center"/>
        </w:trPr>
        <w:tc>
          <w:tcPr>
            <w:tcW w:w="640" w:type="dxa"/>
            <w:vMerge w:val="restart"/>
            <w:tcBorders>
              <w:top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二</w:t>
            </w:r>
          </w:p>
          <w:p>
            <w:pPr>
              <w:snapToGrid w:val="0"/>
              <w:jc w:val="center"/>
              <w:rPr>
                <w:rFonts w:ascii="仿宋_GB2312" w:hAnsi="仿宋" w:eastAsia="仿宋_GB2312" w:cs="Arial"/>
                <w:kern w:val="0"/>
                <w:sz w:val="22"/>
              </w:rPr>
            </w:pPr>
            <w:r>
              <w:rPr>
                <w:rFonts w:hint="eastAsia" w:ascii="仿宋_GB2312" w:hAnsi="仿宋" w:eastAsia="仿宋_GB2312" w:cs="Arial"/>
                <w:kern w:val="0"/>
                <w:sz w:val="22"/>
              </w:rPr>
              <w:t>至</w:t>
            </w:r>
          </w:p>
          <w:p>
            <w:pPr>
              <w:snapToGrid w:val="0"/>
              <w:jc w:val="center"/>
              <w:rPr>
                <w:rFonts w:ascii="仿宋_GB2312" w:hAnsi="仿宋" w:eastAsia="仿宋_GB2312" w:cs="Arial"/>
                <w:kern w:val="0"/>
                <w:sz w:val="22"/>
              </w:rPr>
            </w:pPr>
            <w:r>
              <w:rPr>
                <w:rFonts w:hint="eastAsia" w:ascii="仿宋_GB2312" w:hAnsi="仿宋" w:eastAsia="仿宋_GB2312" w:cs="Arial"/>
                <w:kern w:val="0"/>
                <w:sz w:val="22"/>
              </w:rPr>
              <w:t>三</w:t>
            </w:r>
          </w:p>
          <w:p>
            <w:pPr>
              <w:snapToGrid w:val="0"/>
              <w:jc w:val="center"/>
              <w:rPr>
                <w:rFonts w:ascii="仿宋_GB2312" w:hAnsi="仿宋" w:eastAsia="仿宋_GB2312" w:cs="Arial"/>
                <w:kern w:val="0"/>
                <w:sz w:val="22"/>
              </w:rPr>
            </w:pPr>
            <w:r>
              <w:rPr>
                <w:rFonts w:hint="eastAsia" w:ascii="仿宋_GB2312" w:hAnsi="仿宋" w:eastAsia="仿宋_GB2312" w:cs="Arial"/>
                <w:kern w:val="0"/>
                <w:sz w:val="22"/>
              </w:rPr>
              <w:t>月</w:t>
            </w: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组织新冠肺炎疫情管控及春节开学相关准备</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相关股室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9"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部署春季教育收费工作</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计财股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53"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召开</w:t>
            </w:r>
            <w:r>
              <w:rPr>
                <w:rFonts w:ascii="仿宋_GB2312" w:hAnsi="仿宋" w:eastAsia="仿宋_GB2312" w:cs="Arial"/>
                <w:kern w:val="0"/>
                <w:sz w:val="22"/>
              </w:rPr>
              <w:t>2020</w:t>
            </w:r>
            <w:r>
              <w:rPr>
                <w:rFonts w:hint="eastAsia" w:ascii="仿宋_GB2312" w:hAnsi="仿宋" w:eastAsia="仿宋_GB2312" w:cs="Arial"/>
                <w:kern w:val="0"/>
                <w:sz w:val="22"/>
              </w:rPr>
              <w:t>年学生安全专业委员会暨春季校车安全工作专题会</w:t>
            </w:r>
            <w:r>
              <w:rPr>
                <w:rFonts w:ascii="仿宋_GB2312" w:hAnsi="仿宋" w:eastAsia="仿宋_GB2312" w:cs="Arial"/>
                <w:kern w:val="0"/>
                <w:sz w:val="22"/>
              </w:rPr>
              <w:tab/>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校车办</w:t>
            </w:r>
          </w:p>
          <w:p>
            <w:pPr>
              <w:snapToGrid w:val="0"/>
              <w:jc w:val="center"/>
              <w:rPr>
                <w:rFonts w:ascii="仿宋_GB2312" w:hAnsi="仿宋" w:eastAsia="仿宋_GB2312" w:cs="Arial"/>
                <w:kern w:val="0"/>
                <w:sz w:val="22"/>
              </w:rPr>
            </w:pPr>
            <w:r>
              <w:rPr>
                <w:rFonts w:hint="eastAsia" w:ascii="仿宋_GB2312" w:hAnsi="仿宋" w:eastAsia="仿宋_GB2312" w:cs="Arial"/>
                <w:kern w:val="0"/>
                <w:sz w:val="22"/>
              </w:rPr>
              <w:t>法制安全股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9"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开展春季开学疫情防控模拟演练</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体卫股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9"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召开教体系统党风廉政建设工作会</w:t>
            </w:r>
            <w:r>
              <w:rPr>
                <w:rFonts w:ascii="仿宋_GB2312" w:hAnsi="仿宋" w:eastAsia="仿宋_GB2312" w:cs="Arial"/>
                <w:kern w:val="0"/>
                <w:sz w:val="22"/>
              </w:rPr>
              <w:tab/>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党建办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9"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启动新机关搬迁工作；统筹推进县委巡察整改工作</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9"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开展庆“三八”妇女节及关爱女教职工系列活动</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3" w:hRule="atLeast"/>
          <w:jc w:val="center"/>
        </w:trPr>
        <w:tc>
          <w:tcPr>
            <w:tcW w:w="640" w:type="dxa"/>
            <w:vMerge w:val="restart"/>
            <w:tcBorders>
              <w:top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四</w:t>
            </w:r>
          </w:p>
          <w:p>
            <w:pPr>
              <w:snapToGrid w:val="0"/>
              <w:jc w:val="center"/>
              <w:rPr>
                <w:rFonts w:ascii="仿宋_GB2312" w:hAnsi="仿宋" w:eastAsia="仿宋_GB2312" w:cs="Arial"/>
                <w:kern w:val="0"/>
                <w:sz w:val="22"/>
              </w:rPr>
            </w:pPr>
            <w:r>
              <w:rPr>
                <w:rFonts w:hint="eastAsia" w:ascii="仿宋_GB2312" w:hAnsi="仿宋" w:eastAsia="仿宋_GB2312" w:cs="Arial"/>
                <w:kern w:val="0"/>
                <w:sz w:val="22"/>
              </w:rPr>
              <w:t>月</w:t>
            </w: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组织“新中考”学习培训</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基教股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6"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组织春季开学工作相关督查（控辍保学、学籍管理、中小学生综合素质评价、“校联体”、春季校车安全、清编核岗、学校食品安全、饮用水卫生安全、学生食堂、疫情防控）</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督导股</w:t>
            </w:r>
          </w:p>
          <w:p>
            <w:pPr>
              <w:snapToGrid w:val="0"/>
              <w:jc w:val="center"/>
              <w:rPr>
                <w:rFonts w:ascii="仿宋_GB2312" w:hAnsi="仿宋" w:eastAsia="仿宋_GB2312" w:cs="Arial"/>
                <w:kern w:val="0"/>
                <w:sz w:val="22"/>
              </w:rPr>
            </w:pPr>
            <w:r>
              <w:rPr>
                <w:rFonts w:hint="eastAsia" w:ascii="仿宋_GB2312" w:hAnsi="仿宋" w:eastAsia="仿宋_GB2312" w:cs="Arial"/>
                <w:kern w:val="0"/>
                <w:sz w:val="22"/>
              </w:rPr>
              <w:t>相关股室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6"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召开全县阳光招生暨教育工作千分制考核讲评会</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基教股</w:t>
            </w:r>
          </w:p>
          <w:p>
            <w:pPr>
              <w:snapToGrid w:val="0"/>
              <w:jc w:val="center"/>
              <w:rPr>
                <w:rFonts w:ascii="仿宋_GB2312" w:hAnsi="仿宋" w:eastAsia="仿宋_GB2312" w:cs="Arial"/>
                <w:kern w:val="0"/>
                <w:sz w:val="22"/>
              </w:rPr>
            </w:pPr>
            <w:r>
              <w:rPr>
                <w:rFonts w:hint="eastAsia" w:ascii="仿宋_GB2312" w:hAnsi="仿宋" w:eastAsia="仿宋_GB2312" w:cs="Arial"/>
                <w:kern w:val="0"/>
                <w:sz w:val="22"/>
              </w:rPr>
              <w:t>督导股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6"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开展职业教育宣传周活动；组织职校学生专业技能抽查、综合素质测试</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职成股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3"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开展普惠性民办幼儿园认定</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学前股</w:t>
            </w:r>
          </w:p>
        </w:tc>
      </w:tr>
    </w:tbl>
    <w:p>
      <w:r>
        <w:br w:type="page"/>
      </w:r>
    </w:p>
    <w:tbl>
      <w:tblPr>
        <w:tblStyle w:val="4"/>
        <w:tblW w:w="94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0"/>
        <w:gridCol w:w="7253"/>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6" w:hRule="atLeast"/>
          <w:jc w:val="center"/>
        </w:trPr>
        <w:tc>
          <w:tcPr>
            <w:tcW w:w="640" w:type="dxa"/>
            <w:vMerge w:val="restart"/>
            <w:vAlign w:val="center"/>
          </w:tcPr>
          <w:p>
            <w:pPr>
              <w:widowControl/>
              <w:jc w:val="left"/>
              <w:rPr>
                <w:rFonts w:ascii="仿宋_GB2312" w:hAnsi="仿宋" w:eastAsia="仿宋_GB2312" w:cs="Arial"/>
                <w:b/>
                <w:kern w:val="0"/>
                <w:sz w:val="22"/>
              </w:rPr>
            </w:pPr>
            <w:r>
              <w:rPr>
                <w:rFonts w:hint="eastAsia" w:ascii="仿宋_GB2312" w:hAnsi="仿宋" w:eastAsia="仿宋_GB2312" w:cs="Arial"/>
                <w:b/>
                <w:kern w:val="0"/>
                <w:sz w:val="22"/>
              </w:rPr>
              <w:t>时间</w:t>
            </w:r>
          </w:p>
        </w:tc>
        <w:tc>
          <w:tcPr>
            <w:tcW w:w="7253" w:type="dxa"/>
            <w:tcBorders>
              <w:left w:val="nil"/>
            </w:tcBorders>
            <w:vAlign w:val="center"/>
          </w:tcPr>
          <w:p>
            <w:pPr>
              <w:snapToGrid w:val="0"/>
              <w:jc w:val="center"/>
              <w:rPr>
                <w:rFonts w:ascii="仿宋_GB2312" w:hAnsi="仿宋" w:eastAsia="仿宋_GB2312" w:cs="Arial"/>
                <w:b/>
                <w:kern w:val="0"/>
                <w:sz w:val="22"/>
              </w:rPr>
            </w:pPr>
            <w:r>
              <w:rPr>
                <w:rFonts w:hint="eastAsia" w:ascii="仿宋_GB2312" w:hAnsi="仿宋" w:eastAsia="仿宋_GB2312" w:cs="Arial"/>
                <w:b/>
                <w:kern w:val="0"/>
                <w:sz w:val="22"/>
              </w:rPr>
              <w:t>重</w:t>
            </w:r>
            <w:r>
              <w:rPr>
                <w:rFonts w:ascii="仿宋_GB2312" w:hAnsi="仿宋" w:eastAsia="仿宋_GB2312" w:cs="Arial"/>
                <w:b/>
                <w:kern w:val="0"/>
                <w:sz w:val="22"/>
              </w:rPr>
              <w:t xml:space="preserve">  </w:t>
            </w:r>
            <w:r>
              <w:rPr>
                <w:rFonts w:hint="eastAsia" w:ascii="仿宋_GB2312" w:hAnsi="仿宋" w:eastAsia="仿宋_GB2312" w:cs="Arial"/>
                <w:b/>
                <w:kern w:val="0"/>
                <w:sz w:val="22"/>
              </w:rPr>
              <w:t>点</w:t>
            </w:r>
            <w:r>
              <w:rPr>
                <w:rFonts w:ascii="仿宋_GB2312" w:hAnsi="仿宋" w:eastAsia="仿宋_GB2312" w:cs="Arial"/>
                <w:b/>
                <w:kern w:val="0"/>
                <w:sz w:val="22"/>
              </w:rPr>
              <w:t xml:space="preserve">  </w:t>
            </w:r>
            <w:r>
              <w:rPr>
                <w:rFonts w:hint="eastAsia" w:ascii="仿宋_GB2312" w:hAnsi="仿宋" w:eastAsia="仿宋_GB2312" w:cs="Arial"/>
                <w:b/>
                <w:kern w:val="0"/>
                <w:sz w:val="22"/>
              </w:rPr>
              <w:t>工</w:t>
            </w:r>
            <w:r>
              <w:rPr>
                <w:rFonts w:ascii="仿宋_GB2312" w:hAnsi="仿宋" w:eastAsia="仿宋_GB2312" w:cs="Arial"/>
                <w:b/>
                <w:kern w:val="0"/>
                <w:sz w:val="22"/>
              </w:rPr>
              <w:t xml:space="preserve">  </w:t>
            </w:r>
            <w:r>
              <w:rPr>
                <w:rFonts w:hint="eastAsia" w:ascii="仿宋_GB2312" w:hAnsi="仿宋" w:eastAsia="仿宋_GB2312" w:cs="Arial"/>
                <w:b/>
                <w:kern w:val="0"/>
                <w:sz w:val="22"/>
              </w:rPr>
              <w:t>作</w:t>
            </w:r>
          </w:p>
        </w:tc>
        <w:tc>
          <w:tcPr>
            <w:tcW w:w="1576" w:type="dxa"/>
            <w:tcBorders>
              <w:left w:val="nil"/>
            </w:tcBorders>
            <w:vAlign w:val="center"/>
          </w:tcPr>
          <w:p>
            <w:pPr>
              <w:snapToGrid w:val="0"/>
              <w:jc w:val="center"/>
              <w:rPr>
                <w:rFonts w:ascii="仿宋_GB2312" w:hAnsi="仿宋" w:eastAsia="仿宋_GB2312" w:cs="Arial"/>
                <w:b/>
                <w:kern w:val="0"/>
                <w:sz w:val="22"/>
              </w:rPr>
            </w:pPr>
            <w:r>
              <w:rPr>
                <w:rFonts w:hint="eastAsia" w:ascii="仿宋_GB2312" w:hAnsi="仿宋" w:eastAsia="仿宋_GB2312" w:cs="Arial"/>
                <w:b/>
                <w:kern w:val="0"/>
                <w:sz w:val="22"/>
              </w:rPr>
              <w:t>责任股室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6" w:hRule="atLeast"/>
          <w:jc w:val="center"/>
        </w:trPr>
        <w:tc>
          <w:tcPr>
            <w:tcW w:w="640" w:type="dxa"/>
            <w:vMerge w:val="restart"/>
            <w:tcBorders>
              <w:top w:val="nil"/>
            </w:tcBorders>
            <w:vAlign w:val="center"/>
          </w:tcPr>
          <w:p>
            <w:pPr>
              <w:widowControl/>
              <w:jc w:val="center"/>
              <w:rPr>
                <w:rFonts w:ascii="仿宋_GB2312" w:hAnsi="仿宋" w:eastAsia="仿宋_GB2312" w:cs="Arial"/>
                <w:kern w:val="0"/>
                <w:sz w:val="22"/>
              </w:rPr>
            </w:pPr>
            <w:r>
              <w:rPr>
                <w:rFonts w:hint="eastAsia" w:ascii="仿宋_GB2312" w:hAnsi="仿宋" w:eastAsia="仿宋_GB2312" w:cs="Arial"/>
                <w:kern w:val="0"/>
                <w:sz w:val="22"/>
              </w:rPr>
              <w:t>四</w:t>
            </w:r>
          </w:p>
          <w:p>
            <w:pPr>
              <w:widowControl/>
              <w:jc w:val="center"/>
              <w:rPr>
                <w:rFonts w:ascii="仿宋_GB2312" w:hAnsi="仿宋" w:eastAsia="仿宋_GB2312" w:cs="Arial"/>
                <w:kern w:val="0"/>
                <w:sz w:val="22"/>
              </w:rPr>
            </w:pPr>
            <w:r>
              <w:rPr>
                <w:rFonts w:hint="eastAsia" w:ascii="仿宋_GB2312" w:hAnsi="仿宋" w:eastAsia="仿宋_GB2312" w:cs="Arial"/>
                <w:kern w:val="0"/>
                <w:sz w:val="22"/>
              </w:rPr>
              <w:t>月</w:t>
            </w: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组织教师信息化竞赛以及“一师一优课，一课一名师”活动</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信息化办</w:t>
            </w:r>
          </w:p>
          <w:p>
            <w:pPr>
              <w:snapToGrid w:val="0"/>
              <w:jc w:val="center"/>
              <w:rPr>
                <w:rFonts w:ascii="仿宋_GB2312" w:hAnsi="仿宋" w:eastAsia="仿宋_GB2312" w:cs="Arial"/>
                <w:kern w:val="0"/>
                <w:sz w:val="22"/>
              </w:rPr>
            </w:pPr>
            <w:r>
              <w:rPr>
                <w:rFonts w:hint="eastAsia" w:ascii="仿宋_GB2312" w:hAnsi="仿宋" w:eastAsia="仿宋_GB2312" w:cs="Arial"/>
                <w:kern w:val="0"/>
                <w:sz w:val="22"/>
              </w:rPr>
              <w:t>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2"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启动规章制度修订汇编工作</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5"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开展公办学校</w:t>
            </w:r>
            <w:r>
              <w:rPr>
                <w:rFonts w:ascii="仿宋_GB2312" w:hAnsi="仿宋" w:eastAsia="仿宋_GB2312" w:cs="Arial"/>
                <w:kern w:val="0"/>
                <w:sz w:val="22"/>
              </w:rPr>
              <w:t>2019</w:t>
            </w:r>
            <w:r>
              <w:rPr>
                <w:rFonts w:hint="eastAsia" w:ascii="仿宋_GB2312" w:hAnsi="仿宋" w:eastAsia="仿宋_GB2312" w:cs="Arial"/>
                <w:kern w:val="0"/>
                <w:sz w:val="22"/>
              </w:rPr>
              <w:t>年度财务收支审计调查</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审计股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5"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开展学生森林防火教育</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法制安全股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2"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召开全县校车安全管理培训会</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校车办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1"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开展全县教师读书活动</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6"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w:t>
            </w:r>
            <w:r>
              <w:rPr>
                <w:rFonts w:ascii="仿宋_GB2312" w:hAnsi="仿宋" w:eastAsia="仿宋_GB2312" w:cs="Arial"/>
                <w:kern w:val="0"/>
                <w:sz w:val="22"/>
              </w:rPr>
              <w:t>2020</w:t>
            </w:r>
            <w:r>
              <w:rPr>
                <w:rFonts w:hint="eastAsia" w:ascii="仿宋_GB2312" w:hAnsi="仿宋" w:eastAsia="仿宋_GB2312" w:cs="Arial"/>
                <w:kern w:val="0"/>
                <w:sz w:val="22"/>
              </w:rPr>
              <w:t>年上半年全国英语等级考试</w:t>
            </w:r>
            <w:r>
              <w:rPr>
                <w:rFonts w:ascii="仿宋_GB2312" w:hAnsi="仿宋" w:eastAsia="仿宋_GB2312" w:cs="Arial"/>
                <w:kern w:val="0"/>
                <w:sz w:val="22"/>
              </w:rPr>
              <w:t>(PETS)</w:t>
            </w:r>
            <w:r>
              <w:rPr>
                <w:rFonts w:hint="eastAsia" w:ascii="仿宋_GB2312" w:hAnsi="仿宋" w:eastAsia="仿宋_GB2312" w:cs="Arial"/>
                <w:kern w:val="0"/>
                <w:sz w:val="22"/>
              </w:rPr>
              <w:t>；组织普通高校招生报名考生体检</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招考中心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5"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组织全县户外徒步活动</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社会体育股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69"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组织毕业年级实验操作考试教师专题培训</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98" w:hRule="atLeast"/>
          <w:jc w:val="center"/>
        </w:trPr>
        <w:tc>
          <w:tcPr>
            <w:tcW w:w="640" w:type="dxa"/>
            <w:vMerge w:val="restart"/>
            <w:tcBorders>
              <w:top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五</w:t>
            </w:r>
          </w:p>
          <w:p>
            <w:pPr>
              <w:snapToGrid w:val="0"/>
              <w:jc w:val="center"/>
              <w:rPr>
                <w:rFonts w:ascii="仿宋_GB2312" w:hAnsi="仿宋" w:eastAsia="仿宋_GB2312" w:cs="Arial"/>
                <w:kern w:val="0"/>
                <w:sz w:val="22"/>
              </w:rPr>
            </w:pPr>
            <w:r>
              <w:rPr>
                <w:rFonts w:hint="eastAsia" w:ascii="仿宋_GB2312" w:hAnsi="仿宋" w:eastAsia="仿宋_GB2312" w:cs="Arial"/>
                <w:kern w:val="0"/>
                <w:sz w:val="22"/>
              </w:rPr>
              <w:t>月</w:t>
            </w: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组织师范院校校园招聘</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人才中心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51"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spacing w:val="-6"/>
                <w:kern w:val="0"/>
                <w:sz w:val="22"/>
              </w:rPr>
            </w:pPr>
            <w:r>
              <w:rPr>
                <w:rFonts w:hint="eastAsia" w:ascii="仿宋_GB2312" w:hAnsi="仿宋" w:eastAsia="仿宋_GB2312" w:cs="Arial"/>
                <w:spacing w:val="-6"/>
                <w:kern w:val="0"/>
                <w:sz w:val="22"/>
              </w:rPr>
              <w:t>开展庆“五四”系列活动；组织县一中篮球，怀乡中学田径、足球特招</w:t>
            </w:r>
            <w:r>
              <w:rPr>
                <w:rFonts w:hint="eastAsia" w:ascii="仿宋_GB2312" w:hAnsi="仿宋" w:eastAsia="仿宋_GB2312" w:cs="Arial"/>
                <w:kern w:val="0"/>
                <w:sz w:val="22"/>
              </w:rPr>
              <w:t>；组织初中毕业生音、体、美专业测试</w:t>
            </w:r>
            <w:r>
              <w:rPr>
                <w:rFonts w:hint="eastAsia" w:ascii="仿宋_GB2312" w:hAnsi="仿宋" w:eastAsia="仿宋_GB2312" w:cs="Arial"/>
                <w:spacing w:val="-6"/>
                <w:kern w:val="0"/>
                <w:sz w:val="22"/>
              </w:rPr>
              <w:t>；开展中小学手抄报评选；开展“助残日”爱心捐助活动</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基教股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7"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开展职校招生宣传</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职成股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5"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开展市级示范园开放日活动；开展学前教育宣传月活动</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学前股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13"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组织教育信息化应用星级学校与优秀教师空间评选</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信息化办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99"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组织初中毕业生体育艺术“</w:t>
            </w:r>
            <w:r>
              <w:rPr>
                <w:rFonts w:ascii="仿宋_GB2312" w:hAnsi="仿宋" w:eastAsia="仿宋_GB2312" w:cs="Arial"/>
                <w:kern w:val="0"/>
                <w:sz w:val="22"/>
              </w:rPr>
              <w:t>2+1</w:t>
            </w:r>
            <w:r>
              <w:rPr>
                <w:rFonts w:hint="eastAsia" w:ascii="仿宋_GB2312" w:hAnsi="仿宋" w:eastAsia="仿宋_GB2312" w:cs="Arial"/>
                <w:kern w:val="0"/>
                <w:sz w:val="22"/>
              </w:rPr>
              <w:t>”项目测试</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体卫股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64"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开展春季教师资格认定；组织普通话水平测试；组织教师工作坊高端研修班培训；组织</w:t>
            </w:r>
            <w:r>
              <w:rPr>
                <w:rFonts w:ascii="仿宋_GB2312" w:hAnsi="仿宋" w:eastAsia="仿宋_GB2312" w:cs="Arial"/>
                <w:kern w:val="0"/>
                <w:sz w:val="22"/>
              </w:rPr>
              <w:t>2019</w:t>
            </w:r>
            <w:r>
              <w:rPr>
                <w:rFonts w:hint="eastAsia" w:ascii="仿宋_GB2312" w:hAnsi="仿宋" w:eastAsia="仿宋_GB2312" w:cs="Arial"/>
                <w:kern w:val="0"/>
                <w:sz w:val="22"/>
              </w:rPr>
              <w:t>年度中小学、幼儿园教师培训学分登记</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教师工作股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99"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开展教体系统人事考察</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人事股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4"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组织党员志愿服务活动</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党建办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1"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启动</w:t>
            </w:r>
            <w:r>
              <w:rPr>
                <w:rFonts w:ascii="仿宋_GB2312" w:hAnsi="仿宋" w:eastAsia="仿宋_GB2312" w:cs="Arial"/>
                <w:kern w:val="0"/>
                <w:sz w:val="22"/>
              </w:rPr>
              <w:t>2020</w:t>
            </w:r>
            <w:r>
              <w:rPr>
                <w:rFonts w:hint="eastAsia" w:ascii="仿宋_GB2312" w:hAnsi="仿宋" w:eastAsia="仿宋_GB2312" w:cs="Arial"/>
                <w:kern w:val="0"/>
                <w:sz w:val="22"/>
              </w:rPr>
              <w:t>年中小学图书馆（室）集中装配工作</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13"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开展防溺水专题教育及疏散逃生演练活动</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法制安全股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9"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开展食品卫生安全示范学校创建活动；组织校园风险转移管理人员培训</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后勤中心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7"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组织高中学业水平考试</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招考中心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8"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组织全县男教职工体检</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4"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举行离退休教师诗词书画比赛</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离退办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14"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组织全县体彩销售点业主培训</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社会体育股</w:t>
            </w:r>
          </w:p>
        </w:tc>
      </w:tr>
    </w:tbl>
    <w:p>
      <w:r>
        <w:br w:type="page"/>
      </w:r>
    </w:p>
    <w:tbl>
      <w:tblPr>
        <w:tblStyle w:val="4"/>
        <w:tblW w:w="94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0"/>
        <w:gridCol w:w="7253"/>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93" w:hRule="atLeast"/>
          <w:jc w:val="center"/>
        </w:trPr>
        <w:tc>
          <w:tcPr>
            <w:tcW w:w="640" w:type="dxa"/>
            <w:vMerge w:val="restart"/>
            <w:vAlign w:val="center"/>
          </w:tcPr>
          <w:p>
            <w:pPr>
              <w:snapToGrid w:val="0"/>
              <w:jc w:val="center"/>
              <w:rPr>
                <w:rFonts w:ascii="仿宋_GB2312" w:hAnsi="仿宋" w:eastAsia="仿宋_GB2312" w:cs="Arial"/>
                <w:b/>
                <w:kern w:val="0"/>
                <w:sz w:val="22"/>
              </w:rPr>
            </w:pPr>
            <w:r>
              <w:rPr>
                <w:rFonts w:hint="eastAsia" w:ascii="仿宋_GB2312" w:hAnsi="仿宋" w:eastAsia="仿宋_GB2312" w:cs="Arial"/>
                <w:b/>
                <w:kern w:val="0"/>
                <w:sz w:val="22"/>
              </w:rPr>
              <w:t>时间</w:t>
            </w:r>
          </w:p>
        </w:tc>
        <w:tc>
          <w:tcPr>
            <w:tcW w:w="7253" w:type="dxa"/>
            <w:tcBorders>
              <w:left w:val="nil"/>
            </w:tcBorders>
            <w:vAlign w:val="center"/>
          </w:tcPr>
          <w:p>
            <w:pPr>
              <w:snapToGrid w:val="0"/>
              <w:jc w:val="center"/>
              <w:rPr>
                <w:rFonts w:ascii="仿宋_GB2312" w:hAnsi="仿宋" w:eastAsia="仿宋_GB2312" w:cs="Arial"/>
                <w:b/>
                <w:kern w:val="0"/>
                <w:sz w:val="22"/>
              </w:rPr>
            </w:pPr>
            <w:r>
              <w:rPr>
                <w:rFonts w:hint="eastAsia" w:ascii="仿宋_GB2312" w:hAnsi="仿宋" w:eastAsia="仿宋_GB2312" w:cs="Arial"/>
                <w:b/>
                <w:kern w:val="0"/>
                <w:sz w:val="22"/>
              </w:rPr>
              <w:t>重</w:t>
            </w:r>
            <w:r>
              <w:rPr>
                <w:rFonts w:ascii="仿宋_GB2312" w:hAnsi="仿宋" w:eastAsia="仿宋_GB2312" w:cs="Arial"/>
                <w:b/>
                <w:kern w:val="0"/>
                <w:sz w:val="22"/>
              </w:rPr>
              <w:t xml:space="preserve">  </w:t>
            </w:r>
            <w:r>
              <w:rPr>
                <w:rFonts w:hint="eastAsia" w:ascii="仿宋_GB2312" w:hAnsi="仿宋" w:eastAsia="仿宋_GB2312" w:cs="Arial"/>
                <w:b/>
                <w:kern w:val="0"/>
                <w:sz w:val="22"/>
              </w:rPr>
              <w:t>点</w:t>
            </w:r>
            <w:r>
              <w:rPr>
                <w:rFonts w:ascii="仿宋_GB2312" w:hAnsi="仿宋" w:eastAsia="仿宋_GB2312" w:cs="Arial"/>
                <w:b/>
                <w:kern w:val="0"/>
                <w:sz w:val="22"/>
              </w:rPr>
              <w:t xml:space="preserve">  </w:t>
            </w:r>
            <w:r>
              <w:rPr>
                <w:rFonts w:hint="eastAsia" w:ascii="仿宋_GB2312" w:hAnsi="仿宋" w:eastAsia="仿宋_GB2312" w:cs="Arial"/>
                <w:b/>
                <w:kern w:val="0"/>
                <w:sz w:val="22"/>
              </w:rPr>
              <w:t>工</w:t>
            </w:r>
            <w:r>
              <w:rPr>
                <w:rFonts w:ascii="仿宋_GB2312" w:hAnsi="仿宋" w:eastAsia="仿宋_GB2312" w:cs="Arial"/>
                <w:b/>
                <w:kern w:val="0"/>
                <w:sz w:val="22"/>
              </w:rPr>
              <w:t xml:space="preserve">  </w:t>
            </w:r>
            <w:r>
              <w:rPr>
                <w:rFonts w:hint="eastAsia" w:ascii="仿宋_GB2312" w:hAnsi="仿宋" w:eastAsia="仿宋_GB2312" w:cs="Arial"/>
                <w:b/>
                <w:kern w:val="0"/>
                <w:sz w:val="22"/>
              </w:rPr>
              <w:t>作</w:t>
            </w:r>
          </w:p>
        </w:tc>
        <w:tc>
          <w:tcPr>
            <w:tcW w:w="1576" w:type="dxa"/>
            <w:tcBorders>
              <w:left w:val="nil"/>
            </w:tcBorders>
            <w:vAlign w:val="center"/>
          </w:tcPr>
          <w:p>
            <w:pPr>
              <w:snapToGrid w:val="0"/>
              <w:jc w:val="center"/>
              <w:rPr>
                <w:rFonts w:ascii="仿宋_GB2312" w:hAnsi="仿宋" w:eastAsia="仿宋_GB2312" w:cs="Arial"/>
                <w:b/>
                <w:kern w:val="0"/>
                <w:sz w:val="22"/>
              </w:rPr>
            </w:pPr>
            <w:r>
              <w:rPr>
                <w:rFonts w:hint="eastAsia" w:ascii="仿宋_GB2312" w:hAnsi="仿宋" w:eastAsia="仿宋_GB2312" w:cs="Arial"/>
                <w:b/>
                <w:kern w:val="0"/>
                <w:sz w:val="22"/>
              </w:rPr>
              <w:t>责任股室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69" w:hRule="atLeast"/>
          <w:jc w:val="center"/>
        </w:trPr>
        <w:tc>
          <w:tcPr>
            <w:tcW w:w="640" w:type="dxa"/>
            <w:vMerge w:val="restart"/>
            <w:tcBorders>
              <w:top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六</w:t>
            </w:r>
          </w:p>
          <w:p>
            <w:pPr>
              <w:snapToGrid w:val="0"/>
              <w:jc w:val="center"/>
              <w:rPr>
                <w:rFonts w:ascii="仿宋_GB2312" w:hAnsi="仿宋" w:eastAsia="仿宋_GB2312" w:cs="Arial"/>
                <w:kern w:val="0"/>
                <w:sz w:val="22"/>
              </w:rPr>
            </w:pPr>
            <w:r>
              <w:rPr>
                <w:rFonts w:hint="eastAsia" w:ascii="仿宋_GB2312" w:hAnsi="仿宋" w:eastAsia="仿宋_GB2312" w:cs="Arial"/>
                <w:kern w:val="0"/>
                <w:sz w:val="22"/>
              </w:rPr>
              <w:t>月</w:t>
            </w: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开展学校财务、夏季校车安全、校园周边治安秩序整治、学校安保、“安全生产月”、民办培训机构办学行为、行业不正之风、“纠四风治陋习”等相关工作专项督查及学校特色办学项目评审认定</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督导股</w:t>
            </w:r>
          </w:p>
          <w:p>
            <w:pPr>
              <w:snapToGrid w:val="0"/>
              <w:jc w:val="center"/>
              <w:rPr>
                <w:rFonts w:ascii="仿宋_GB2312" w:hAnsi="仿宋" w:eastAsia="仿宋_GB2312" w:cs="Arial"/>
                <w:kern w:val="0"/>
                <w:sz w:val="22"/>
              </w:rPr>
            </w:pPr>
            <w:r>
              <w:rPr>
                <w:rFonts w:hint="eastAsia" w:ascii="仿宋_GB2312" w:hAnsi="仿宋" w:eastAsia="仿宋_GB2312" w:cs="Arial"/>
                <w:kern w:val="0"/>
                <w:sz w:val="22"/>
              </w:rPr>
              <w:t>相关股室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4"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组织开展“六一”庆祝活动；开展“禁毒教育”专题活动</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基教股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4"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组织幼儿教师“送教下乡”活动</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学前股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开展艺体教师培训</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体卫股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92"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开展优秀教师和优秀教育工作者评选</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人事股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6"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开展先进基层党组织、优秀共产党员评选</w:t>
            </w:r>
            <w:r>
              <w:rPr>
                <w:rFonts w:ascii="仿宋_GB2312" w:hAnsi="仿宋" w:eastAsia="仿宋_GB2312" w:cs="Arial"/>
                <w:kern w:val="0"/>
                <w:sz w:val="22"/>
              </w:rPr>
              <w:t>;</w:t>
            </w:r>
            <w:r>
              <w:rPr>
                <w:rFonts w:hint="eastAsia" w:ascii="仿宋_GB2312" w:hAnsi="仿宋" w:eastAsia="仿宋_GB2312" w:cs="Arial"/>
                <w:kern w:val="0"/>
                <w:sz w:val="22"/>
              </w:rPr>
              <w:t>开展困难党员慰问活动</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党建办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08"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开展节能减排及食品安全宣传周活动</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后勤中心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组织高职院校单独招生考试报名测试</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招考中心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开展“两后生”就业技能培训</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资助中心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开展全县乒乓球、羽毛球俱乐部联谊赛</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社会体育股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组织中小学实验教学质量抽查和八年级信息技术、九年级实验操作会考</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0" w:type="dxa"/>
            <w:vMerge w:val="restart"/>
            <w:tcBorders>
              <w:top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七</w:t>
            </w:r>
          </w:p>
          <w:p>
            <w:pPr>
              <w:snapToGrid w:val="0"/>
              <w:jc w:val="center"/>
              <w:rPr>
                <w:rFonts w:ascii="仿宋_GB2312" w:hAnsi="仿宋" w:eastAsia="仿宋_GB2312" w:cs="Arial"/>
                <w:kern w:val="0"/>
                <w:sz w:val="22"/>
              </w:rPr>
            </w:pPr>
            <w:r>
              <w:rPr>
                <w:rFonts w:hint="eastAsia" w:ascii="仿宋_GB2312" w:hAnsi="仿宋" w:eastAsia="仿宋_GB2312" w:cs="Arial"/>
                <w:kern w:val="0"/>
                <w:sz w:val="22"/>
              </w:rPr>
              <w:t>月</w:t>
            </w:r>
          </w:p>
          <w:p>
            <w:pPr>
              <w:snapToGrid w:val="0"/>
              <w:jc w:val="center"/>
              <w:rPr>
                <w:rFonts w:ascii="仿宋_GB2312" w:hAnsi="仿宋" w:eastAsia="仿宋_GB2312" w:cs="Arial"/>
                <w:kern w:val="0"/>
                <w:sz w:val="22"/>
              </w:rPr>
            </w:pPr>
            <w:r>
              <w:rPr>
                <w:rFonts w:hint="eastAsia" w:ascii="仿宋_GB2312" w:hAnsi="仿宋" w:eastAsia="仿宋_GB2312" w:cs="Arial"/>
                <w:kern w:val="0"/>
                <w:sz w:val="22"/>
              </w:rPr>
              <w:t>至</w:t>
            </w:r>
          </w:p>
          <w:p>
            <w:pPr>
              <w:snapToGrid w:val="0"/>
              <w:jc w:val="center"/>
              <w:rPr>
                <w:rFonts w:ascii="仿宋_GB2312" w:hAnsi="仿宋" w:eastAsia="仿宋_GB2312" w:cs="Arial"/>
                <w:kern w:val="0"/>
                <w:sz w:val="22"/>
              </w:rPr>
            </w:pPr>
            <w:r>
              <w:rPr>
                <w:rFonts w:hint="eastAsia" w:ascii="仿宋_GB2312" w:hAnsi="仿宋" w:eastAsia="仿宋_GB2312" w:cs="Arial"/>
                <w:kern w:val="0"/>
                <w:sz w:val="22"/>
              </w:rPr>
              <w:t>八</w:t>
            </w:r>
          </w:p>
          <w:p>
            <w:pPr>
              <w:snapToGrid w:val="0"/>
              <w:jc w:val="center"/>
              <w:rPr>
                <w:rFonts w:ascii="仿宋_GB2312" w:hAnsi="仿宋" w:eastAsia="仿宋_GB2312" w:cs="Arial"/>
                <w:kern w:val="0"/>
                <w:sz w:val="22"/>
              </w:rPr>
            </w:pPr>
            <w:r>
              <w:rPr>
                <w:rFonts w:hint="eastAsia" w:ascii="仿宋_GB2312" w:hAnsi="仿宋" w:eastAsia="仿宋_GB2312" w:cs="Arial"/>
                <w:kern w:val="0"/>
                <w:sz w:val="22"/>
              </w:rPr>
              <w:t>月</w:t>
            </w: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组织教体系统行政骨干暑假学习班</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相关股室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6" w:hRule="atLeast"/>
          <w:jc w:val="center"/>
        </w:trPr>
        <w:tc>
          <w:tcPr>
            <w:tcW w:w="640" w:type="dxa"/>
            <w:vMerge w:val="continue"/>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组织新教师招聘</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人才中心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19" w:hRule="atLeast"/>
          <w:jc w:val="center"/>
        </w:trPr>
        <w:tc>
          <w:tcPr>
            <w:tcW w:w="640" w:type="dxa"/>
            <w:vMerge w:val="continue"/>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开展中小学生暑假社会实践活动；组织初中毕业学业考试</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基教股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68" w:hRule="atLeast"/>
          <w:jc w:val="center"/>
        </w:trPr>
        <w:tc>
          <w:tcPr>
            <w:tcW w:w="640" w:type="dxa"/>
            <w:vMerge w:val="continue"/>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开展民办学校校长（园长）业务培训和经验交流</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职成股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16" w:hRule="atLeast"/>
          <w:jc w:val="center"/>
        </w:trPr>
        <w:tc>
          <w:tcPr>
            <w:tcW w:w="640" w:type="dxa"/>
            <w:vMerge w:val="continue"/>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组织教师信息技术应用能力提升培训</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信息化办</w:t>
            </w:r>
          </w:p>
          <w:p>
            <w:pPr>
              <w:snapToGrid w:val="0"/>
              <w:jc w:val="center"/>
              <w:rPr>
                <w:rFonts w:ascii="仿宋_GB2312" w:hAnsi="仿宋" w:eastAsia="仿宋_GB2312" w:cs="Arial"/>
                <w:kern w:val="0"/>
                <w:sz w:val="22"/>
              </w:rPr>
            </w:pPr>
            <w:r>
              <w:rPr>
                <w:rFonts w:hint="eastAsia" w:ascii="仿宋_GB2312" w:hAnsi="仿宋" w:eastAsia="仿宋_GB2312" w:cs="Arial"/>
                <w:kern w:val="0"/>
                <w:sz w:val="22"/>
              </w:rPr>
              <w:t>教师工作股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93" w:hRule="atLeast"/>
          <w:jc w:val="center"/>
        </w:trPr>
        <w:tc>
          <w:tcPr>
            <w:tcW w:w="640" w:type="dxa"/>
            <w:vMerge w:val="continue"/>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组织高一新生军训</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体卫股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27" w:hRule="atLeast"/>
          <w:jc w:val="center"/>
        </w:trPr>
        <w:tc>
          <w:tcPr>
            <w:tcW w:w="640" w:type="dxa"/>
            <w:vMerge w:val="continue"/>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开展民办教育机构专项治理、职校招生、民办学校假期办学行为、学校假期安全值守、高危性体育项目等专项督查</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督导股</w:t>
            </w:r>
          </w:p>
          <w:p>
            <w:pPr>
              <w:snapToGrid w:val="0"/>
              <w:jc w:val="center"/>
              <w:rPr>
                <w:rFonts w:ascii="仿宋_GB2312" w:hAnsi="仿宋" w:eastAsia="仿宋_GB2312" w:cs="Arial"/>
                <w:kern w:val="0"/>
                <w:sz w:val="22"/>
              </w:rPr>
            </w:pPr>
            <w:r>
              <w:rPr>
                <w:rFonts w:hint="eastAsia" w:ascii="仿宋_GB2312" w:hAnsi="仿宋" w:eastAsia="仿宋_GB2312" w:cs="Arial"/>
                <w:kern w:val="0"/>
                <w:sz w:val="22"/>
              </w:rPr>
              <w:t>相关股室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0" w:hRule="atLeast"/>
          <w:jc w:val="center"/>
        </w:trPr>
        <w:tc>
          <w:tcPr>
            <w:tcW w:w="640" w:type="dxa"/>
            <w:vMerge w:val="continue"/>
            <w:vAlign w:val="center"/>
          </w:tcPr>
          <w:p>
            <w:pPr>
              <w:snapToGrid w:val="0"/>
              <w:jc w:val="center"/>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组织中小学教师远程继续教育培训；组织公费师范生预录、面试、体检、录取工作；开展青年教师素养提升培训、中小学幼儿园书法教师培训</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教师工作股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03" w:hRule="atLeast"/>
          <w:jc w:val="center"/>
        </w:trPr>
        <w:tc>
          <w:tcPr>
            <w:tcW w:w="640" w:type="dxa"/>
            <w:vMerge w:val="continue"/>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组织城区教师招聘和“回乡计划”教师引进</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人事股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03" w:hRule="atLeast"/>
          <w:jc w:val="center"/>
        </w:trPr>
        <w:tc>
          <w:tcPr>
            <w:tcW w:w="640" w:type="dxa"/>
            <w:vMerge w:val="continue"/>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组织参观廉政警示教育基地；开展“七一”庆祝系列活动</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党建办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0" w:hRule="atLeast"/>
          <w:jc w:val="center"/>
        </w:trPr>
        <w:tc>
          <w:tcPr>
            <w:tcW w:w="640" w:type="dxa"/>
            <w:vMerge w:val="continue"/>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组织教体系统财务人员培训；部署秋季教育收费工作</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计财股</w:t>
            </w:r>
          </w:p>
        </w:tc>
      </w:tr>
    </w:tbl>
    <w:p>
      <w:r>
        <w:br w:type="page"/>
      </w:r>
    </w:p>
    <w:tbl>
      <w:tblPr>
        <w:tblStyle w:val="4"/>
        <w:tblW w:w="94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0"/>
        <w:gridCol w:w="7253"/>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7" w:hRule="atLeast"/>
          <w:jc w:val="center"/>
        </w:trPr>
        <w:tc>
          <w:tcPr>
            <w:tcW w:w="640" w:type="dxa"/>
            <w:vMerge w:val="restart"/>
            <w:vAlign w:val="center"/>
          </w:tcPr>
          <w:p>
            <w:pPr>
              <w:snapToGrid w:val="0"/>
              <w:jc w:val="center"/>
              <w:rPr>
                <w:rFonts w:ascii="仿宋_GB2312" w:hAnsi="仿宋" w:eastAsia="仿宋_GB2312" w:cs="Arial"/>
                <w:b/>
                <w:kern w:val="0"/>
                <w:sz w:val="22"/>
              </w:rPr>
            </w:pPr>
            <w:r>
              <w:rPr>
                <w:rFonts w:hint="eastAsia" w:ascii="仿宋_GB2312" w:hAnsi="仿宋" w:eastAsia="仿宋_GB2312" w:cs="Arial"/>
                <w:b/>
                <w:kern w:val="0"/>
                <w:sz w:val="22"/>
              </w:rPr>
              <w:t>时间</w:t>
            </w:r>
          </w:p>
        </w:tc>
        <w:tc>
          <w:tcPr>
            <w:tcW w:w="7253" w:type="dxa"/>
            <w:tcBorders>
              <w:left w:val="nil"/>
            </w:tcBorders>
            <w:vAlign w:val="center"/>
          </w:tcPr>
          <w:p>
            <w:pPr>
              <w:snapToGrid w:val="0"/>
              <w:jc w:val="center"/>
              <w:rPr>
                <w:rFonts w:ascii="仿宋_GB2312" w:hAnsi="仿宋" w:eastAsia="仿宋_GB2312" w:cs="Arial"/>
                <w:b/>
                <w:kern w:val="0"/>
                <w:sz w:val="22"/>
              </w:rPr>
            </w:pPr>
            <w:r>
              <w:rPr>
                <w:rFonts w:hint="eastAsia" w:ascii="仿宋_GB2312" w:hAnsi="仿宋" w:eastAsia="仿宋_GB2312" w:cs="Arial"/>
                <w:b/>
                <w:kern w:val="0"/>
                <w:sz w:val="22"/>
              </w:rPr>
              <w:t>重</w:t>
            </w:r>
            <w:r>
              <w:rPr>
                <w:rFonts w:ascii="仿宋_GB2312" w:hAnsi="仿宋" w:eastAsia="仿宋_GB2312" w:cs="Arial"/>
                <w:b/>
                <w:kern w:val="0"/>
                <w:sz w:val="22"/>
              </w:rPr>
              <w:t xml:space="preserve">  </w:t>
            </w:r>
            <w:r>
              <w:rPr>
                <w:rFonts w:hint="eastAsia" w:ascii="仿宋_GB2312" w:hAnsi="仿宋" w:eastAsia="仿宋_GB2312" w:cs="Arial"/>
                <w:b/>
                <w:kern w:val="0"/>
                <w:sz w:val="22"/>
              </w:rPr>
              <w:t>点</w:t>
            </w:r>
            <w:r>
              <w:rPr>
                <w:rFonts w:ascii="仿宋_GB2312" w:hAnsi="仿宋" w:eastAsia="仿宋_GB2312" w:cs="Arial"/>
                <w:b/>
                <w:kern w:val="0"/>
                <w:sz w:val="22"/>
              </w:rPr>
              <w:t xml:space="preserve">  </w:t>
            </w:r>
            <w:r>
              <w:rPr>
                <w:rFonts w:hint="eastAsia" w:ascii="仿宋_GB2312" w:hAnsi="仿宋" w:eastAsia="仿宋_GB2312" w:cs="Arial"/>
                <w:b/>
                <w:kern w:val="0"/>
                <w:sz w:val="22"/>
              </w:rPr>
              <w:t>工</w:t>
            </w:r>
            <w:r>
              <w:rPr>
                <w:rFonts w:ascii="仿宋_GB2312" w:hAnsi="仿宋" w:eastAsia="仿宋_GB2312" w:cs="Arial"/>
                <w:b/>
                <w:kern w:val="0"/>
                <w:sz w:val="22"/>
              </w:rPr>
              <w:t xml:space="preserve">  </w:t>
            </w:r>
            <w:r>
              <w:rPr>
                <w:rFonts w:hint="eastAsia" w:ascii="仿宋_GB2312" w:hAnsi="仿宋" w:eastAsia="仿宋_GB2312" w:cs="Arial"/>
                <w:b/>
                <w:kern w:val="0"/>
                <w:sz w:val="22"/>
              </w:rPr>
              <w:t>作</w:t>
            </w:r>
          </w:p>
        </w:tc>
        <w:tc>
          <w:tcPr>
            <w:tcW w:w="1576" w:type="dxa"/>
            <w:tcBorders>
              <w:left w:val="nil"/>
            </w:tcBorders>
            <w:vAlign w:val="center"/>
          </w:tcPr>
          <w:p>
            <w:pPr>
              <w:snapToGrid w:val="0"/>
              <w:jc w:val="center"/>
              <w:rPr>
                <w:rFonts w:ascii="仿宋_GB2312" w:hAnsi="仿宋" w:eastAsia="仿宋_GB2312" w:cs="Arial"/>
                <w:b/>
                <w:kern w:val="0"/>
                <w:sz w:val="22"/>
              </w:rPr>
            </w:pPr>
            <w:r>
              <w:rPr>
                <w:rFonts w:hint="eastAsia" w:ascii="仿宋_GB2312" w:hAnsi="仿宋" w:eastAsia="仿宋_GB2312" w:cs="Arial"/>
                <w:b/>
                <w:kern w:val="0"/>
                <w:sz w:val="22"/>
              </w:rPr>
              <w:t>责任股室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7" w:hRule="atLeast"/>
          <w:jc w:val="center"/>
        </w:trPr>
        <w:tc>
          <w:tcPr>
            <w:tcW w:w="640" w:type="dxa"/>
            <w:vMerge w:val="restart"/>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七</w:t>
            </w:r>
          </w:p>
          <w:p>
            <w:pPr>
              <w:snapToGrid w:val="0"/>
              <w:jc w:val="center"/>
              <w:rPr>
                <w:rFonts w:ascii="仿宋_GB2312" w:hAnsi="仿宋" w:eastAsia="仿宋_GB2312" w:cs="Arial"/>
                <w:kern w:val="0"/>
                <w:sz w:val="22"/>
              </w:rPr>
            </w:pPr>
            <w:r>
              <w:rPr>
                <w:rFonts w:hint="eastAsia" w:ascii="仿宋_GB2312" w:hAnsi="仿宋" w:eastAsia="仿宋_GB2312" w:cs="Arial"/>
                <w:kern w:val="0"/>
                <w:sz w:val="22"/>
              </w:rPr>
              <w:t>月</w:t>
            </w:r>
          </w:p>
          <w:p>
            <w:pPr>
              <w:snapToGrid w:val="0"/>
              <w:jc w:val="center"/>
              <w:rPr>
                <w:rFonts w:ascii="仿宋_GB2312" w:hAnsi="仿宋" w:eastAsia="仿宋_GB2312" w:cs="Arial"/>
                <w:kern w:val="0"/>
                <w:sz w:val="22"/>
              </w:rPr>
            </w:pPr>
            <w:r>
              <w:rPr>
                <w:rFonts w:hint="eastAsia" w:ascii="仿宋_GB2312" w:hAnsi="仿宋" w:eastAsia="仿宋_GB2312" w:cs="Arial"/>
                <w:kern w:val="0"/>
                <w:sz w:val="22"/>
              </w:rPr>
              <w:t>至</w:t>
            </w:r>
          </w:p>
          <w:p>
            <w:pPr>
              <w:snapToGrid w:val="0"/>
              <w:jc w:val="center"/>
              <w:rPr>
                <w:rFonts w:ascii="仿宋_GB2312" w:hAnsi="仿宋" w:eastAsia="仿宋_GB2312" w:cs="Arial"/>
                <w:kern w:val="0"/>
                <w:sz w:val="22"/>
              </w:rPr>
            </w:pPr>
            <w:r>
              <w:rPr>
                <w:rFonts w:hint="eastAsia" w:ascii="仿宋_GB2312" w:hAnsi="仿宋" w:eastAsia="仿宋_GB2312" w:cs="Arial"/>
                <w:kern w:val="0"/>
                <w:sz w:val="22"/>
              </w:rPr>
              <w:t>八</w:t>
            </w:r>
          </w:p>
          <w:p>
            <w:pPr>
              <w:widowControl/>
              <w:jc w:val="center"/>
              <w:rPr>
                <w:rFonts w:ascii="仿宋_GB2312" w:hAnsi="仿宋" w:eastAsia="仿宋_GB2312" w:cs="Arial"/>
                <w:kern w:val="0"/>
                <w:sz w:val="22"/>
              </w:rPr>
            </w:pPr>
            <w:r>
              <w:rPr>
                <w:rFonts w:hint="eastAsia" w:ascii="仿宋_GB2312" w:hAnsi="仿宋" w:eastAsia="仿宋_GB2312" w:cs="Arial"/>
                <w:kern w:val="0"/>
                <w:sz w:val="22"/>
              </w:rPr>
              <w:t>月</w:t>
            </w: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开展相关专项资金使用内部审计调查；组织审计人员业务培训</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审计股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0"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完成学校食品卫生安全“三防”设施建设</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后勤中心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0"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组织普通高校招生全国统考</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招考中心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6"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组织全县社会体育指导员培训；举办全县篮球俱乐部联谊赛；组织“全民健身日”系列活动</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社会体育股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03"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组织中小学教学质量抽样检测；组织新教师暑假业务培训</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32" w:hRule="atLeast"/>
          <w:jc w:val="center"/>
        </w:trPr>
        <w:tc>
          <w:tcPr>
            <w:tcW w:w="640" w:type="dxa"/>
            <w:vMerge w:val="restart"/>
            <w:tcBorders>
              <w:top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九</w:t>
            </w:r>
          </w:p>
          <w:p>
            <w:pPr>
              <w:snapToGrid w:val="0"/>
              <w:jc w:val="center"/>
              <w:rPr>
                <w:rFonts w:ascii="仿宋_GB2312" w:hAnsi="仿宋" w:eastAsia="仿宋_GB2312" w:cs="Arial"/>
                <w:kern w:val="0"/>
                <w:sz w:val="22"/>
              </w:rPr>
            </w:pPr>
            <w:r>
              <w:rPr>
                <w:rFonts w:hint="eastAsia" w:ascii="仿宋_GB2312" w:hAnsi="仿宋" w:eastAsia="仿宋_GB2312" w:cs="Arial"/>
                <w:kern w:val="0"/>
                <w:sz w:val="22"/>
              </w:rPr>
              <w:t>月</w:t>
            </w: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组织秋季开学工作督查（阳光招生、常规管理、清编核岗、“纠四风治陋习”、行业不正之风、校园安全、校车安全、校车通行线路安全隐患、学校食品安全、饮用水卫生安全、学生食堂）</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督导股</w:t>
            </w:r>
          </w:p>
          <w:p>
            <w:pPr>
              <w:snapToGrid w:val="0"/>
              <w:jc w:val="center"/>
              <w:rPr>
                <w:rFonts w:ascii="仿宋_GB2312" w:hAnsi="仿宋" w:eastAsia="仿宋_GB2312" w:cs="Arial"/>
                <w:kern w:val="0"/>
                <w:sz w:val="22"/>
              </w:rPr>
            </w:pPr>
            <w:r>
              <w:rPr>
                <w:rFonts w:hint="eastAsia" w:ascii="仿宋_GB2312" w:hAnsi="仿宋" w:eastAsia="仿宋_GB2312" w:cs="Arial"/>
                <w:kern w:val="0"/>
                <w:sz w:val="22"/>
              </w:rPr>
              <w:t>相关股室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8"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组织中小学生学籍系统业务培训；开展“新时代好少年”评选活动；召开高考质量分析讲评会</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基教股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97"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组织义教、高中阶段新生体检；组织中小学生建制班合唱比赛</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体卫股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7"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组织第二十三届全国推普宣传周活动；开展“国培计划”远程培训项目集中培训</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教师工作股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03"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组织后备干部外出学习培训</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人事股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1"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开展校长离任经济责任审计</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审计股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7"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组织教体系统社会公众安全感测评</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法制安全股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9"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召开</w:t>
            </w:r>
            <w:r>
              <w:rPr>
                <w:rFonts w:ascii="仿宋_GB2312" w:hAnsi="仿宋" w:eastAsia="仿宋_GB2312" w:cs="Arial"/>
                <w:kern w:val="0"/>
                <w:sz w:val="22"/>
              </w:rPr>
              <w:t>2020</w:t>
            </w:r>
            <w:r>
              <w:rPr>
                <w:rFonts w:hint="eastAsia" w:ascii="仿宋_GB2312" w:hAnsi="仿宋" w:eastAsia="仿宋_GB2312" w:cs="Arial"/>
                <w:kern w:val="0"/>
                <w:sz w:val="22"/>
              </w:rPr>
              <w:t>年下学期校车安全管理工作会</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校车办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9"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开展学校食品、饮用水卫生安全和食堂商店管理工作业务培训</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后勤中心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8"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开展庆祝教师节系列活动</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1"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w:t>
            </w:r>
            <w:r>
              <w:rPr>
                <w:rFonts w:ascii="仿宋_GB2312" w:hAnsi="仿宋" w:eastAsia="仿宋_GB2312" w:cs="Arial"/>
                <w:kern w:val="0"/>
                <w:sz w:val="22"/>
              </w:rPr>
              <w:t>2020</w:t>
            </w:r>
            <w:r>
              <w:rPr>
                <w:rFonts w:hint="eastAsia" w:ascii="仿宋_GB2312" w:hAnsi="仿宋" w:eastAsia="仿宋_GB2312" w:cs="Arial"/>
                <w:kern w:val="0"/>
                <w:sz w:val="22"/>
              </w:rPr>
              <w:t>年下半年全国英语等级考试</w:t>
            </w:r>
            <w:r>
              <w:rPr>
                <w:rFonts w:ascii="仿宋_GB2312" w:hAnsi="仿宋" w:eastAsia="仿宋_GB2312" w:cs="Arial"/>
                <w:kern w:val="0"/>
                <w:sz w:val="22"/>
              </w:rPr>
              <w:t>(PETS)</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招考中心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9"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组织全县中学理科教师实验能手竞赛活动</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6" w:hRule="atLeast"/>
          <w:jc w:val="center"/>
        </w:trPr>
        <w:tc>
          <w:tcPr>
            <w:tcW w:w="640" w:type="dxa"/>
            <w:vMerge w:val="restart"/>
            <w:tcBorders>
              <w:top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十</w:t>
            </w:r>
          </w:p>
          <w:p>
            <w:pPr>
              <w:snapToGrid w:val="0"/>
              <w:jc w:val="center"/>
              <w:rPr>
                <w:rFonts w:ascii="仿宋_GB2312" w:hAnsi="仿宋" w:eastAsia="仿宋_GB2312" w:cs="Arial"/>
                <w:kern w:val="0"/>
                <w:sz w:val="22"/>
              </w:rPr>
            </w:pPr>
            <w:r>
              <w:rPr>
                <w:rFonts w:hint="eastAsia" w:ascii="仿宋_GB2312" w:hAnsi="仿宋" w:eastAsia="仿宋_GB2312" w:cs="Arial"/>
                <w:kern w:val="0"/>
                <w:sz w:val="22"/>
              </w:rPr>
              <w:t>月</w:t>
            </w: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开展</w:t>
            </w:r>
            <w:r>
              <w:rPr>
                <w:rFonts w:ascii="仿宋_GB2312" w:hAnsi="仿宋" w:eastAsia="仿宋_GB2312" w:cs="Arial"/>
                <w:kern w:val="0"/>
                <w:sz w:val="22"/>
              </w:rPr>
              <w:t>2020</w:t>
            </w:r>
            <w:r>
              <w:rPr>
                <w:rFonts w:hint="eastAsia" w:ascii="仿宋_GB2312" w:hAnsi="仿宋" w:eastAsia="仿宋_GB2312" w:cs="Arial"/>
                <w:kern w:val="0"/>
                <w:sz w:val="22"/>
              </w:rPr>
              <w:t>年教师职称评聘工作</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人才中心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26"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开展庆“国庆”系列教育、“禁毒教育”活动；启动全县高考综合改革平台建设；组织班主任、备课组长、德育主任专项培训</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基教股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5"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组织全县中小学生才艺比赛、运动会及球类联赛</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体卫股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5"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组织第三批名师名校长评选</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人事股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0"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举办全县教体系统新闻通讯员培训班</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办公室</w:t>
            </w:r>
          </w:p>
        </w:tc>
      </w:tr>
    </w:tbl>
    <w:p>
      <w:r>
        <w:br w:type="page"/>
      </w:r>
    </w:p>
    <w:tbl>
      <w:tblPr>
        <w:tblStyle w:val="4"/>
        <w:tblW w:w="94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0"/>
        <w:gridCol w:w="7253"/>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91" w:hRule="atLeast"/>
          <w:jc w:val="center"/>
        </w:trPr>
        <w:tc>
          <w:tcPr>
            <w:tcW w:w="640" w:type="dxa"/>
            <w:vMerge w:val="restart"/>
            <w:vAlign w:val="center"/>
          </w:tcPr>
          <w:p>
            <w:pPr>
              <w:widowControl/>
              <w:jc w:val="center"/>
              <w:rPr>
                <w:rFonts w:ascii="仿宋_GB2312" w:hAnsi="仿宋" w:eastAsia="仿宋_GB2312" w:cs="Arial"/>
                <w:b/>
                <w:kern w:val="0"/>
                <w:sz w:val="22"/>
              </w:rPr>
            </w:pPr>
            <w:r>
              <w:rPr>
                <w:rFonts w:hint="eastAsia" w:ascii="仿宋_GB2312" w:hAnsi="仿宋" w:eastAsia="仿宋_GB2312" w:cs="Arial"/>
                <w:b/>
                <w:kern w:val="0"/>
                <w:sz w:val="22"/>
              </w:rPr>
              <w:t>时间</w:t>
            </w:r>
          </w:p>
        </w:tc>
        <w:tc>
          <w:tcPr>
            <w:tcW w:w="7253" w:type="dxa"/>
            <w:tcBorders>
              <w:left w:val="nil"/>
            </w:tcBorders>
            <w:vAlign w:val="center"/>
          </w:tcPr>
          <w:p>
            <w:pPr>
              <w:snapToGrid w:val="0"/>
              <w:jc w:val="center"/>
              <w:rPr>
                <w:rFonts w:ascii="仿宋_GB2312" w:hAnsi="仿宋" w:eastAsia="仿宋_GB2312" w:cs="Arial"/>
                <w:b/>
                <w:kern w:val="0"/>
                <w:sz w:val="22"/>
              </w:rPr>
            </w:pPr>
            <w:r>
              <w:rPr>
                <w:rFonts w:hint="eastAsia" w:ascii="仿宋_GB2312" w:hAnsi="仿宋" w:eastAsia="仿宋_GB2312" w:cs="Arial"/>
                <w:b/>
                <w:kern w:val="0"/>
                <w:sz w:val="22"/>
              </w:rPr>
              <w:t>重</w:t>
            </w:r>
            <w:r>
              <w:rPr>
                <w:rFonts w:ascii="仿宋_GB2312" w:hAnsi="仿宋" w:eastAsia="仿宋_GB2312" w:cs="Arial"/>
                <w:b/>
                <w:kern w:val="0"/>
                <w:sz w:val="22"/>
              </w:rPr>
              <w:t xml:space="preserve">  </w:t>
            </w:r>
            <w:r>
              <w:rPr>
                <w:rFonts w:hint="eastAsia" w:ascii="仿宋_GB2312" w:hAnsi="仿宋" w:eastAsia="仿宋_GB2312" w:cs="Arial"/>
                <w:b/>
                <w:kern w:val="0"/>
                <w:sz w:val="22"/>
              </w:rPr>
              <w:t>点</w:t>
            </w:r>
            <w:r>
              <w:rPr>
                <w:rFonts w:ascii="仿宋_GB2312" w:hAnsi="仿宋" w:eastAsia="仿宋_GB2312" w:cs="Arial"/>
                <w:b/>
                <w:kern w:val="0"/>
                <w:sz w:val="22"/>
              </w:rPr>
              <w:t xml:space="preserve">  </w:t>
            </w:r>
            <w:r>
              <w:rPr>
                <w:rFonts w:hint="eastAsia" w:ascii="仿宋_GB2312" w:hAnsi="仿宋" w:eastAsia="仿宋_GB2312" w:cs="Arial"/>
                <w:b/>
                <w:kern w:val="0"/>
                <w:sz w:val="22"/>
              </w:rPr>
              <w:t>工</w:t>
            </w:r>
            <w:r>
              <w:rPr>
                <w:rFonts w:ascii="仿宋_GB2312" w:hAnsi="仿宋" w:eastAsia="仿宋_GB2312" w:cs="Arial"/>
                <w:b/>
                <w:kern w:val="0"/>
                <w:sz w:val="22"/>
              </w:rPr>
              <w:t xml:space="preserve">  </w:t>
            </w:r>
            <w:r>
              <w:rPr>
                <w:rFonts w:hint="eastAsia" w:ascii="仿宋_GB2312" w:hAnsi="仿宋" w:eastAsia="仿宋_GB2312" w:cs="Arial"/>
                <w:b/>
                <w:kern w:val="0"/>
                <w:sz w:val="22"/>
              </w:rPr>
              <w:t>作</w:t>
            </w:r>
          </w:p>
        </w:tc>
        <w:tc>
          <w:tcPr>
            <w:tcW w:w="1576" w:type="dxa"/>
            <w:tcBorders>
              <w:left w:val="nil"/>
            </w:tcBorders>
            <w:vAlign w:val="center"/>
          </w:tcPr>
          <w:p>
            <w:pPr>
              <w:snapToGrid w:val="0"/>
              <w:jc w:val="center"/>
              <w:rPr>
                <w:rFonts w:ascii="仿宋_GB2312" w:hAnsi="仿宋" w:eastAsia="仿宋_GB2312" w:cs="Arial"/>
                <w:b/>
                <w:kern w:val="0"/>
                <w:sz w:val="22"/>
              </w:rPr>
            </w:pPr>
            <w:r>
              <w:rPr>
                <w:rFonts w:hint="eastAsia" w:ascii="仿宋_GB2312" w:hAnsi="仿宋" w:eastAsia="仿宋_GB2312" w:cs="Arial"/>
                <w:b/>
                <w:kern w:val="0"/>
                <w:sz w:val="22"/>
              </w:rPr>
              <w:t>责任股室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91" w:hRule="atLeast"/>
          <w:jc w:val="center"/>
        </w:trPr>
        <w:tc>
          <w:tcPr>
            <w:tcW w:w="640" w:type="dxa"/>
            <w:vMerge w:val="restart"/>
            <w:tcBorders>
              <w:top w:val="nil"/>
            </w:tcBorders>
            <w:vAlign w:val="center"/>
          </w:tcPr>
          <w:p>
            <w:pPr>
              <w:widowControl/>
              <w:jc w:val="center"/>
              <w:rPr>
                <w:rFonts w:ascii="仿宋_GB2312" w:hAnsi="仿宋" w:eastAsia="仿宋_GB2312" w:cs="Arial"/>
                <w:kern w:val="0"/>
                <w:sz w:val="22"/>
              </w:rPr>
            </w:pPr>
            <w:r>
              <w:rPr>
                <w:rFonts w:hint="eastAsia" w:ascii="仿宋_GB2312" w:hAnsi="仿宋" w:eastAsia="仿宋_GB2312" w:cs="Arial"/>
                <w:kern w:val="0"/>
                <w:sz w:val="22"/>
              </w:rPr>
              <w:t>十</w:t>
            </w:r>
          </w:p>
          <w:p>
            <w:pPr>
              <w:widowControl/>
              <w:jc w:val="center"/>
              <w:rPr>
                <w:rFonts w:ascii="仿宋_GB2312" w:hAnsi="仿宋" w:eastAsia="仿宋_GB2312" w:cs="Arial"/>
                <w:kern w:val="0"/>
                <w:sz w:val="22"/>
              </w:rPr>
            </w:pPr>
            <w:r>
              <w:rPr>
                <w:rFonts w:hint="eastAsia" w:ascii="仿宋_GB2312" w:hAnsi="仿宋" w:eastAsia="仿宋_GB2312" w:cs="Arial"/>
                <w:kern w:val="0"/>
                <w:sz w:val="22"/>
              </w:rPr>
              <w:t>月</w:t>
            </w: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开展国庆长假安全生产大检查、校园内管制刀具和危爆物品集中查缴、文书档案管理、图书馆（室）集中装配等专项督查和县市省级文明校园（文明标兵）创建验收、学校平台集群管理运行情况调研</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督导股</w:t>
            </w:r>
          </w:p>
          <w:p>
            <w:pPr>
              <w:snapToGrid w:val="0"/>
              <w:jc w:val="center"/>
              <w:rPr>
                <w:rFonts w:ascii="仿宋_GB2312" w:hAnsi="仿宋" w:eastAsia="仿宋_GB2312" w:cs="Arial"/>
                <w:kern w:val="0"/>
                <w:sz w:val="22"/>
              </w:rPr>
            </w:pPr>
            <w:r>
              <w:rPr>
                <w:rFonts w:hint="eastAsia" w:ascii="仿宋_GB2312" w:hAnsi="仿宋" w:eastAsia="仿宋_GB2312" w:cs="Arial"/>
                <w:kern w:val="0"/>
                <w:sz w:val="22"/>
              </w:rPr>
              <w:t>相关股室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0"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组织中小学理科教师普通话培训</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教师工作股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0"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开展校车安全管理系列宣传</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校车办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7"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组织创建省市合格（示范）学生劳动实践基地申报、迎检</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后勤中心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7"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举行全县第四届“体彩杯”教职工运动会；组队参加市县教职工乒乓球赛和全县首届女职工羽毛球赛</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7"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开展老年节庆祝系列活动</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离退办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7"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组织成人高校招生考试</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招考中心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7"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举办全县第四届“体彩杯”男子篮球联谊赛</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社会体育股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7" w:hRule="atLeast"/>
          <w:jc w:val="center"/>
        </w:trPr>
        <w:tc>
          <w:tcPr>
            <w:tcW w:w="640" w:type="dxa"/>
            <w:vMerge w:val="restart"/>
            <w:tcBorders>
              <w:top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十</w:t>
            </w:r>
          </w:p>
          <w:p>
            <w:pPr>
              <w:snapToGrid w:val="0"/>
              <w:jc w:val="center"/>
              <w:rPr>
                <w:rFonts w:ascii="仿宋_GB2312" w:hAnsi="仿宋" w:eastAsia="仿宋_GB2312" w:cs="Arial"/>
                <w:kern w:val="0"/>
                <w:sz w:val="22"/>
              </w:rPr>
            </w:pPr>
            <w:r>
              <w:rPr>
                <w:rFonts w:hint="eastAsia" w:ascii="仿宋_GB2312" w:hAnsi="仿宋" w:eastAsia="仿宋_GB2312" w:cs="Arial"/>
                <w:kern w:val="0"/>
                <w:sz w:val="22"/>
              </w:rPr>
              <w:t>一</w:t>
            </w:r>
          </w:p>
          <w:p>
            <w:pPr>
              <w:snapToGrid w:val="0"/>
              <w:jc w:val="center"/>
              <w:rPr>
                <w:rFonts w:ascii="仿宋_GB2312" w:hAnsi="仿宋" w:eastAsia="仿宋_GB2312" w:cs="Arial"/>
                <w:kern w:val="0"/>
                <w:sz w:val="22"/>
              </w:rPr>
            </w:pPr>
            <w:r>
              <w:rPr>
                <w:rFonts w:hint="eastAsia" w:ascii="仿宋_GB2312" w:hAnsi="仿宋" w:eastAsia="仿宋_GB2312" w:cs="Arial"/>
                <w:kern w:val="0"/>
                <w:sz w:val="22"/>
              </w:rPr>
              <w:t>月</w:t>
            </w: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组织“新高考”专题培训</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基教股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7"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开展全民终身学习周活动</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职成股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7"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开展幼儿园骨干教师、园长培训</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学前股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7"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组织秋季教师资格认定；选派第五批行政干部及骨干教师到省内名校跟班培训</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教师工作股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7"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开展今冬明春消防安全大排查大整治行动</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法制安全股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7"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举行青年教师师德演讲比赛；开展职工医疗互助活动</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7"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组织全县离退休教师“红烛杯”门球赛</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离退办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7"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组织高中学业水平考试综合考查</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招考中心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7"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开展青年教师教学反思、教学随笔评比活动</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7" w:hRule="atLeast"/>
          <w:jc w:val="center"/>
        </w:trPr>
        <w:tc>
          <w:tcPr>
            <w:tcW w:w="640" w:type="dxa"/>
            <w:vMerge w:val="restart"/>
            <w:tcBorders>
              <w:top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十</w:t>
            </w:r>
          </w:p>
          <w:p>
            <w:pPr>
              <w:snapToGrid w:val="0"/>
              <w:jc w:val="center"/>
              <w:rPr>
                <w:rFonts w:ascii="仿宋_GB2312" w:hAnsi="仿宋" w:eastAsia="仿宋_GB2312" w:cs="Arial"/>
                <w:kern w:val="0"/>
                <w:sz w:val="22"/>
              </w:rPr>
            </w:pPr>
            <w:r>
              <w:rPr>
                <w:rFonts w:hint="eastAsia" w:ascii="仿宋_GB2312" w:hAnsi="仿宋" w:eastAsia="仿宋_GB2312" w:cs="Arial"/>
                <w:kern w:val="0"/>
                <w:sz w:val="22"/>
              </w:rPr>
              <w:t>二</w:t>
            </w:r>
          </w:p>
          <w:p>
            <w:pPr>
              <w:snapToGrid w:val="0"/>
              <w:jc w:val="center"/>
              <w:rPr>
                <w:rFonts w:ascii="仿宋_GB2312" w:hAnsi="仿宋" w:eastAsia="仿宋_GB2312" w:cs="Arial"/>
                <w:kern w:val="0"/>
                <w:sz w:val="22"/>
              </w:rPr>
            </w:pPr>
            <w:r>
              <w:rPr>
                <w:rFonts w:hint="eastAsia" w:ascii="仿宋_GB2312" w:hAnsi="仿宋" w:eastAsia="仿宋_GB2312" w:cs="Arial"/>
                <w:kern w:val="0"/>
                <w:sz w:val="22"/>
              </w:rPr>
              <w:t>月</w:t>
            </w: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召开常规管理现场交流会暨“校联体”工作讲评会</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基教股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7"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开展中职学生技能竞赛文明风采竞赛活动</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职成股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7"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普惠性民办园评估及分等定级</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学前股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7"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开展阳光体育运动大课间评比及中小学生体质健康检测；举办第二届感动华容教育颁奖典礼</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体卫股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7" w:hRule="atLeast"/>
          <w:jc w:val="center"/>
        </w:trPr>
        <w:tc>
          <w:tcPr>
            <w:tcW w:w="640" w:type="dxa"/>
            <w:vMerge w:val="continue"/>
            <w:tcBorders>
              <w:top w:val="nil"/>
            </w:tcBorders>
            <w:vAlign w:val="center"/>
          </w:tcPr>
          <w:p>
            <w:pPr>
              <w:widowControl/>
              <w:jc w:val="left"/>
              <w:rPr>
                <w:rFonts w:ascii="仿宋_GB2312" w:hAnsi="仿宋" w:eastAsia="仿宋_GB2312" w:cs="Arial"/>
                <w:kern w:val="0"/>
                <w:sz w:val="22"/>
              </w:rPr>
            </w:pPr>
          </w:p>
        </w:tc>
        <w:tc>
          <w:tcPr>
            <w:tcW w:w="7253" w:type="dxa"/>
            <w:tcBorders>
              <w:left w:val="nil"/>
            </w:tcBorders>
            <w:vAlign w:val="center"/>
          </w:tcPr>
          <w:p>
            <w:pPr>
              <w:snapToGrid w:val="0"/>
              <w:rPr>
                <w:rFonts w:ascii="仿宋_GB2312" w:hAnsi="仿宋" w:eastAsia="仿宋_GB2312" w:cs="Arial"/>
                <w:kern w:val="0"/>
                <w:sz w:val="22"/>
              </w:rPr>
            </w:pPr>
            <w:r>
              <w:rPr>
                <w:rFonts w:hint="eastAsia" w:ascii="仿宋_GB2312" w:hAnsi="仿宋" w:eastAsia="仿宋_GB2312" w:cs="Arial"/>
                <w:kern w:val="0"/>
                <w:sz w:val="22"/>
              </w:rPr>
              <w:t>组织教育工作千分制管理考核、教育信息化创新应用“十百千万”工程及试点项目中期评估、民办教育机构年检评估、冬季校车安全管理专项督查、“家长学校”评比</w:t>
            </w:r>
          </w:p>
        </w:tc>
        <w:tc>
          <w:tcPr>
            <w:tcW w:w="1576" w:type="dxa"/>
            <w:tcBorders>
              <w:left w:val="nil"/>
            </w:tcBorders>
            <w:vAlign w:val="center"/>
          </w:tcPr>
          <w:p>
            <w:pPr>
              <w:snapToGrid w:val="0"/>
              <w:jc w:val="center"/>
              <w:rPr>
                <w:rFonts w:ascii="仿宋_GB2312" w:hAnsi="仿宋" w:eastAsia="仿宋_GB2312" w:cs="Arial"/>
                <w:kern w:val="0"/>
                <w:sz w:val="22"/>
              </w:rPr>
            </w:pPr>
            <w:r>
              <w:rPr>
                <w:rFonts w:hint="eastAsia" w:ascii="仿宋_GB2312" w:hAnsi="仿宋" w:eastAsia="仿宋_GB2312" w:cs="Arial"/>
                <w:kern w:val="0"/>
                <w:sz w:val="22"/>
              </w:rPr>
              <w:t>督导股</w:t>
            </w:r>
          </w:p>
          <w:p>
            <w:pPr>
              <w:snapToGrid w:val="0"/>
              <w:jc w:val="center"/>
              <w:rPr>
                <w:rFonts w:ascii="仿宋_GB2312" w:hAnsi="仿宋" w:eastAsia="仿宋_GB2312" w:cs="Arial"/>
                <w:kern w:val="0"/>
                <w:sz w:val="22"/>
              </w:rPr>
            </w:pPr>
            <w:r>
              <w:rPr>
                <w:rFonts w:hint="eastAsia" w:ascii="仿宋_GB2312" w:hAnsi="仿宋" w:eastAsia="仿宋_GB2312" w:cs="Arial"/>
                <w:kern w:val="0"/>
                <w:sz w:val="22"/>
              </w:rPr>
              <w:t>相关股室</w:t>
            </w:r>
          </w:p>
        </w:tc>
      </w:tr>
    </w:tbl>
    <w:p>
      <w:pPr>
        <w:snapToGrid w:val="0"/>
        <w:jc w:val="center"/>
        <w:rPr>
          <w:rFonts w:ascii="宋体"/>
          <w:b/>
          <w:bCs/>
          <w:kern w:val="0"/>
          <w:sz w:val="44"/>
          <w:szCs w:val="44"/>
        </w:rPr>
      </w:pPr>
      <w:r>
        <w:rPr>
          <w:rFonts w:ascii="宋体"/>
          <w:b/>
          <w:bCs/>
          <w:kern w:val="0"/>
          <w:sz w:val="44"/>
          <w:szCs w:val="44"/>
        </w:rPr>
        <w:t xml:space="preserve"> </w:t>
      </w:r>
    </w:p>
    <w:p>
      <w:pPr>
        <w:snapToGrid w:val="0"/>
        <w:ind w:right="640"/>
        <w:sectPr>
          <w:headerReference r:id="rId3" w:type="default"/>
          <w:footerReference r:id="rId4" w:type="default"/>
          <w:pgSz w:w="11906" w:h="16838"/>
          <w:pgMar w:top="1701" w:right="1701" w:bottom="1701" w:left="1701" w:header="851" w:footer="1474" w:gutter="0"/>
          <w:cols w:space="425" w:num="1"/>
          <w:docGrid w:type="lines" w:linePitch="312" w:charSpace="0"/>
        </w:sectPr>
      </w:pPr>
    </w:p>
    <w:p>
      <w:pPr>
        <w:snapToGrid w:val="0"/>
        <w:ind w:right="640"/>
      </w:pPr>
      <w:r>
        <w:rPr>
          <w:rFonts w:hint="eastAsia"/>
        </w:rPr>
        <w:t>附件</w:t>
      </w:r>
      <w:r>
        <w:t>2</w:t>
      </w:r>
    </w:p>
    <w:p>
      <w:pPr>
        <w:snapToGrid w:val="0"/>
        <w:ind w:right="640"/>
        <w:jc w:val="center"/>
        <w:rPr>
          <w:rFonts w:ascii="仿宋_GB2312" w:eastAsia="仿宋_GB2312" w:cs="仿宋_GB2312"/>
          <w:sz w:val="32"/>
          <w:szCs w:val="32"/>
        </w:rPr>
      </w:pPr>
      <w:r>
        <w:rPr>
          <w:rFonts w:hint="eastAsia" w:ascii="宋体" w:hAnsi="宋体"/>
          <w:b/>
          <w:bCs/>
          <w:sz w:val="44"/>
          <w:szCs w:val="44"/>
        </w:rPr>
        <w:t>华容县教育体育局</w:t>
      </w:r>
      <w:r>
        <w:rPr>
          <w:rFonts w:ascii="宋体" w:hAnsi="宋体"/>
          <w:b/>
          <w:bCs/>
          <w:sz w:val="44"/>
          <w:szCs w:val="44"/>
        </w:rPr>
        <w:t>2020</w:t>
      </w:r>
      <w:r>
        <w:rPr>
          <w:rFonts w:hint="eastAsia" w:ascii="宋体" w:hAnsi="宋体"/>
          <w:b/>
          <w:bCs/>
          <w:sz w:val="44"/>
          <w:szCs w:val="44"/>
        </w:rPr>
        <w:t>年度重点工作任务分解表</w:t>
      </w:r>
    </w:p>
    <w:tbl>
      <w:tblPr>
        <w:tblStyle w:val="4"/>
        <w:tblW w:w="14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439"/>
        <w:gridCol w:w="8068"/>
        <w:gridCol w:w="1189"/>
        <w:gridCol w:w="1566"/>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19" w:type="dxa"/>
            <w:vAlign w:val="center"/>
          </w:tcPr>
          <w:p>
            <w:pPr>
              <w:snapToGrid w:val="0"/>
              <w:jc w:val="center"/>
              <w:rPr>
                <w:rFonts w:ascii="仿宋_GB2312" w:eastAsia="仿宋_GB2312"/>
                <w:b/>
                <w:bCs/>
                <w:sz w:val="24"/>
              </w:rPr>
            </w:pPr>
            <w:r>
              <w:rPr>
                <w:rFonts w:hint="eastAsia" w:ascii="仿宋_GB2312" w:eastAsia="仿宋_GB2312"/>
                <w:b/>
                <w:bCs/>
                <w:sz w:val="24"/>
              </w:rPr>
              <w:t>序号</w:t>
            </w:r>
          </w:p>
        </w:tc>
        <w:tc>
          <w:tcPr>
            <w:tcW w:w="1439" w:type="dxa"/>
            <w:tcBorders>
              <w:left w:val="nil"/>
            </w:tcBorders>
            <w:vAlign w:val="center"/>
          </w:tcPr>
          <w:p>
            <w:pPr>
              <w:snapToGrid w:val="0"/>
              <w:jc w:val="center"/>
              <w:rPr>
                <w:rFonts w:ascii="仿宋_GB2312" w:eastAsia="仿宋_GB2312"/>
                <w:b/>
                <w:bCs/>
                <w:sz w:val="24"/>
              </w:rPr>
            </w:pPr>
            <w:r>
              <w:rPr>
                <w:rFonts w:hint="eastAsia" w:ascii="仿宋_GB2312" w:eastAsia="仿宋_GB2312"/>
                <w:b/>
                <w:bCs/>
                <w:sz w:val="24"/>
              </w:rPr>
              <w:t>项目名称</w:t>
            </w:r>
          </w:p>
        </w:tc>
        <w:tc>
          <w:tcPr>
            <w:tcW w:w="8068" w:type="dxa"/>
            <w:tcBorders>
              <w:left w:val="nil"/>
            </w:tcBorders>
            <w:vAlign w:val="center"/>
          </w:tcPr>
          <w:p>
            <w:pPr>
              <w:snapToGrid w:val="0"/>
              <w:jc w:val="center"/>
              <w:rPr>
                <w:rFonts w:ascii="仿宋_GB2312" w:eastAsia="仿宋_GB2312"/>
                <w:b/>
                <w:bCs/>
                <w:sz w:val="24"/>
              </w:rPr>
            </w:pPr>
            <w:r>
              <w:rPr>
                <w:rFonts w:hint="eastAsia" w:ascii="仿宋_GB2312" w:eastAsia="仿宋_GB2312"/>
                <w:b/>
                <w:bCs/>
                <w:sz w:val="24"/>
              </w:rPr>
              <w:t>年度目标任务</w:t>
            </w:r>
          </w:p>
        </w:tc>
        <w:tc>
          <w:tcPr>
            <w:tcW w:w="1189" w:type="dxa"/>
            <w:tcBorders>
              <w:left w:val="nil"/>
            </w:tcBorders>
            <w:vAlign w:val="center"/>
          </w:tcPr>
          <w:p>
            <w:pPr>
              <w:snapToGrid w:val="0"/>
              <w:ind w:left="-54" w:leftChars="-26" w:right="-100" w:rightChars="-48"/>
              <w:jc w:val="center"/>
              <w:rPr>
                <w:rFonts w:ascii="仿宋_GB2312" w:eastAsia="仿宋_GB2312"/>
                <w:b/>
                <w:bCs/>
                <w:sz w:val="24"/>
              </w:rPr>
            </w:pPr>
            <w:r>
              <w:rPr>
                <w:rFonts w:hint="eastAsia" w:ascii="仿宋_GB2312" w:eastAsia="仿宋_GB2312"/>
                <w:b/>
                <w:bCs/>
                <w:sz w:val="24"/>
              </w:rPr>
              <w:t>责任领导</w:t>
            </w:r>
          </w:p>
        </w:tc>
        <w:tc>
          <w:tcPr>
            <w:tcW w:w="1566" w:type="dxa"/>
            <w:tcBorders>
              <w:left w:val="nil"/>
            </w:tcBorders>
            <w:vAlign w:val="center"/>
          </w:tcPr>
          <w:p>
            <w:pPr>
              <w:snapToGrid w:val="0"/>
              <w:jc w:val="center"/>
              <w:rPr>
                <w:rFonts w:ascii="仿宋_GB2312" w:eastAsia="仿宋_GB2312"/>
                <w:b/>
                <w:bCs/>
                <w:sz w:val="24"/>
              </w:rPr>
            </w:pPr>
            <w:r>
              <w:rPr>
                <w:rFonts w:hint="eastAsia" w:ascii="仿宋_GB2312" w:eastAsia="仿宋_GB2312"/>
                <w:b/>
                <w:bCs/>
                <w:sz w:val="24"/>
              </w:rPr>
              <w:t>责任股室</w:t>
            </w:r>
          </w:p>
        </w:tc>
        <w:tc>
          <w:tcPr>
            <w:tcW w:w="1270" w:type="dxa"/>
            <w:tcBorders>
              <w:left w:val="nil"/>
            </w:tcBorders>
            <w:vAlign w:val="center"/>
          </w:tcPr>
          <w:p>
            <w:pPr>
              <w:snapToGrid w:val="0"/>
              <w:jc w:val="center"/>
              <w:rPr>
                <w:rFonts w:ascii="仿宋_GB2312" w:eastAsia="仿宋_GB2312"/>
                <w:b/>
                <w:bCs/>
                <w:sz w:val="24"/>
              </w:rPr>
            </w:pPr>
            <w:r>
              <w:rPr>
                <w:rFonts w:hint="eastAsia" w:ascii="仿宋_GB2312" w:eastAsia="仿宋_GB2312"/>
                <w:b/>
                <w:bCs/>
                <w:sz w:val="24"/>
              </w:rPr>
              <w:t>协办股室（单位）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619" w:type="dxa"/>
            <w:vAlign w:val="center"/>
          </w:tcPr>
          <w:p>
            <w:pPr>
              <w:snapToGrid w:val="0"/>
              <w:jc w:val="center"/>
              <w:rPr>
                <w:rFonts w:ascii="仿宋_GB2312" w:eastAsia="仿宋_GB2312"/>
                <w:sz w:val="24"/>
              </w:rPr>
            </w:pPr>
            <w:r>
              <w:rPr>
                <w:rFonts w:ascii="仿宋_GB2312" w:eastAsia="仿宋_GB2312"/>
                <w:sz w:val="24"/>
              </w:rPr>
              <w:t>1</w:t>
            </w:r>
          </w:p>
        </w:tc>
        <w:tc>
          <w:tcPr>
            <w:tcW w:w="1439" w:type="dxa"/>
            <w:vMerge w:val="restart"/>
            <w:tcBorders>
              <w:top w:val="nil"/>
              <w:left w:val="nil"/>
            </w:tcBorders>
            <w:vAlign w:val="center"/>
          </w:tcPr>
          <w:p>
            <w:pPr>
              <w:snapToGrid w:val="0"/>
              <w:jc w:val="center"/>
              <w:rPr>
                <w:rFonts w:ascii="仿宋_GB2312" w:eastAsia="仿宋_GB2312"/>
                <w:sz w:val="24"/>
              </w:rPr>
            </w:pPr>
            <w:r>
              <w:rPr>
                <w:rFonts w:hint="eastAsia" w:ascii="仿宋_GB2312" w:eastAsia="仿宋_GB2312"/>
                <w:sz w:val="24"/>
              </w:rPr>
              <w:t>均衡优质</w:t>
            </w:r>
          </w:p>
        </w:tc>
        <w:tc>
          <w:tcPr>
            <w:tcW w:w="8068" w:type="dxa"/>
            <w:tcBorders>
              <w:left w:val="nil"/>
            </w:tcBorders>
            <w:vAlign w:val="center"/>
          </w:tcPr>
          <w:p>
            <w:pPr>
              <w:snapToGrid w:val="0"/>
              <w:jc w:val="left"/>
              <w:rPr>
                <w:rFonts w:ascii="仿宋_GB2312" w:eastAsia="仿宋_GB2312"/>
                <w:sz w:val="24"/>
              </w:rPr>
            </w:pPr>
            <w:r>
              <w:rPr>
                <w:rFonts w:hint="eastAsia" w:ascii="仿宋_GB2312" w:eastAsia="仿宋_GB2312"/>
                <w:sz w:val="24"/>
              </w:rPr>
              <w:t>进一步加强教育教学常规管理，开展全县常规管理示范学校、达标学校评选</w:t>
            </w:r>
          </w:p>
        </w:tc>
        <w:tc>
          <w:tcPr>
            <w:tcW w:w="1189" w:type="dxa"/>
            <w:vMerge w:val="restart"/>
            <w:tcBorders>
              <w:top w:val="nil"/>
              <w:left w:val="nil"/>
            </w:tcBorders>
            <w:vAlign w:val="center"/>
          </w:tcPr>
          <w:p>
            <w:pPr>
              <w:snapToGrid w:val="0"/>
              <w:jc w:val="center"/>
              <w:rPr>
                <w:rFonts w:ascii="仿宋_GB2312" w:eastAsia="仿宋_GB2312"/>
                <w:sz w:val="24"/>
              </w:rPr>
            </w:pPr>
            <w:r>
              <w:rPr>
                <w:rFonts w:hint="eastAsia" w:ascii="仿宋_GB2312" w:eastAsia="仿宋_GB2312"/>
                <w:sz w:val="24"/>
              </w:rPr>
              <w:t>刘建新</w:t>
            </w:r>
          </w:p>
        </w:tc>
        <w:tc>
          <w:tcPr>
            <w:tcW w:w="1566" w:type="dxa"/>
            <w:tcBorders>
              <w:left w:val="nil"/>
            </w:tcBorders>
            <w:vAlign w:val="center"/>
          </w:tcPr>
          <w:p>
            <w:pPr>
              <w:snapToGrid w:val="0"/>
              <w:jc w:val="center"/>
              <w:rPr>
                <w:rFonts w:ascii="仿宋_GB2312" w:eastAsia="仿宋_GB2312"/>
                <w:sz w:val="24"/>
              </w:rPr>
            </w:pPr>
            <w:r>
              <w:rPr>
                <w:rFonts w:hint="eastAsia" w:ascii="仿宋_GB2312" w:eastAsia="仿宋_GB2312"/>
                <w:sz w:val="24"/>
              </w:rPr>
              <w:t>督导股</w:t>
            </w:r>
          </w:p>
        </w:tc>
        <w:tc>
          <w:tcPr>
            <w:tcW w:w="1270" w:type="dxa"/>
            <w:tcBorders>
              <w:left w:val="nil"/>
            </w:tcBorders>
            <w:vAlign w:val="center"/>
          </w:tcPr>
          <w:p>
            <w:pPr>
              <w:snapToGrid w:val="0"/>
              <w:jc w:val="center"/>
              <w:rPr>
                <w:rFonts w:ascii="仿宋_GB2312" w:eastAsia="仿宋_GB2312"/>
                <w:sz w:val="24"/>
              </w:rPr>
            </w:pPr>
            <w:r>
              <w:rPr>
                <w:rFonts w:hint="eastAsia" w:ascii="仿宋_GB2312" w:eastAsia="仿宋_GB2312"/>
                <w:sz w:val="24"/>
              </w:rPr>
              <w:t>基教股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619" w:type="dxa"/>
            <w:vAlign w:val="center"/>
          </w:tcPr>
          <w:p>
            <w:pPr>
              <w:snapToGrid w:val="0"/>
              <w:jc w:val="center"/>
              <w:rPr>
                <w:rFonts w:ascii="仿宋_GB2312" w:eastAsia="仿宋_GB2312"/>
                <w:sz w:val="24"/>
              </w:rPr>
            </w:pPr>
            <w:r>
              <w:rPr>
                <w:rFonts w:ascii="仿宋_GB2312" w:eastAsia="仿宋_GB2312"/>
                <w:sz w:val="24"/>
              </w:rPr>
              <w:t>2</w:t>
            </w:r>
          </w:p>
        </w:tc>
        <w:tc>
          <w:tcPr>
            <w:tcW w:w="1439" w:type="dxa"/>
            <w:vMerge w:val="continue"/>
            <w:tcBorders>
              <w:top w:val="nil"/>
              <w:left w:val="nil"/>
            </w:tcBorders>
            <w:vAlign w:val="center"/>
          </w:tcPr>
          <w:p>
            <w:pPr>
              <w:widowControl/>
              <w:jc w:val="left"/>
              <w:rPr>
                <w:rFonts w:ascii="仿宋_GB2312" w:eastAsia="仿宋_GB2312"/>
                <w:sz w:val="24"/>
              </w:rPr>
            </w:pPr>
          </w:p>
        </w:tc>
        <w:tc>
          <w:tcPr>
            <w:tcW w:w="8068" w:type="dxa"/>
            <w:tcBorders>
              <w:left w:val="nil"/>
            </w:tcBorders>
            <w:vAlign w:val="center"/>
          </w:tcPr>
          <w:p>
            <w:pPr>
              <w:snapToGrid w:val="0"/>
              <w:rPr>
                <w:rFonts w:ascii="仿宋_GB2312" w:eastAsia="仿宋_GB2312"/>
                <w:sz w:val="24"/>
              </w:rPr>
            </w:pPr>
            <w:r>
              <w:rPr>
                <w:rFonts w:hint="eastAsia" w:ascii="仿宋_GB2312" w:eastAsia="仿宋_GB2312"/>
                <w:sz w:val="24"/>
              </w:rPr>
              <w:t>发挥县一中的引领作用，推行集团化办学</w:t>
            </w:r>
          </w:p>
        </w:tc>
        <w:tc>
          <w:tcPr>
            <w:tcW w:w="1189" w:type="dxa"/>
            <w:vMerge w:val="continue"/>
            <w:tcBorders>
              <w:top w:val="nil"/>
              <w:left w:val="nil"/>
            </w:tcBorders>
            <w:vAlign w:val="center"/>
          </w:tcPr>
          <w:p>
            <w:pPr>
              <w:widowControl/>
              <w:jc w:val="left"/>
              <w:rPr>
                <w:rFonts w:ascii="仿宋_GB2312" w:eastAsia="仿宋_GB2312"/>
                <w:sz w:val="24"/>
              </w:rPr>
            </w:pPr>
          </w:p>
        </w:tc>
        <w:tc>
          <w:tcPr>
            <w:tcW w:w="1566" w:type="dxa"/>
            <w:tcBorders>
              <w:left w:val="nil"/>
            </w:tcBorders>
            <w:vAlign w:val="center"/>
          </w:tcPr>
          <w:p>
            <w:pPr>
              <w:snapToGrid w:val="0"/>
              <w:jc w:val="center"/>
              <w:rPr>
                <w:rFonts w:ascii="仿宋_GB2312" w:eastAsia="仿宋_GB2312"/>
                <w:sz w:val="24"/>
              </w:rPr>
            </w:pPr>
            <w:r>
              <w:rPr>
                <w:rFonts w:hint="eastAsia" w:ascii="仿宋_GB2312" w:eastAsia="仿宋_GB2312"/>
                <w:sz w:val="24"/>
              </w:rPr>
              <w:t>基教股</w:t>
            </w:r>
          </w:p>
        </w:tc>
        <w:tc>
          <w:tcPr>
            <w:tcW w:w="1270" w:type="dxa"/>
            <w:tcBorders>
              <w:left w:val="nil"/>
            </w:tcBorders>
            <w:vAlign w:val="center"/>
          </w:tcPr>
          <w:p>
            <w:pPr>
              <w:snapToGrid w:val="0"/>
              <w:jc w:val="center"/>
              <w:rPr>
                <w:rFonts w:ascii="仿宋_GB2312" w:eastAsia="仿宋_GB2312"/>
                <w:sz w:val="24"/>
              </w:rPr>
            </w:pPr>
            <w:r>
              <w:rPr>
                <w:rFonts w:hint="eastAsia" w:ascii="仿宋_GB2312" w:eastAsia="仿宋_GB2312"/>
                <w:sz w:val="24"/>
              </w:rPr>
              <w:t>县一中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619" w:type="dxa"/>
            <w:vAlign w:val="center"/>
          </w:tcPr>
          <w:p>
            <w:pPr>
              <w:snapToGrid w:val="0"/>
              <w:jc w:val="center"/>
              <w:rPr>
                <w:rFonts w:ascii="仿宋_GB2312" w:eastAsia="仿宋_GB2312"/>
                <w:sz w:val="24"/>
              </w:rPr>
            </w:pPr>
            <w:r>
              <w:rPr>
                <w:rFonts w:ascii="仿宋_GB2312" w:eastAsia="仿宋_GB2312"/>
                <w:sz w:val="24"/>
              </w:rPr>
              <w:t>3</w:t>
            </w:r>
          </w:p>
        </w:tc>
        <w:tc>
          <w:tcPr>
            <w:tcW w:w="1439" w:type="dxa"/>
            <w:vMerge w:val="continue"/>
            <w:tcBorders>
              <w:top w:val="nil"/>
              <w:left w:val="nil"/>
            </w:tcBorders>
            <w:vAlign w:val="center"/>
          </w:tcPr>
          <w:p>
            <w:pPr>
              <w:widowControl/>
              <w:jc w:val="left"/>
              <w:rPr>
                <w:rFonts w:ascii="仿宋_GB2312" w:eastAsia="仿宋_GB2312"/>
                <w:sz w:val="24"/>
              </w:rPr>
            </w:pPr>
          </w:p>
        </w:tc>
        <w:tc>
          <w:tcPr>
            <w:tcW w:w="8068" w:type="dxa"/>
            <w:tcBorders>
              <w:left w:val="nil"/>
            </w:tcBorders>
            <w:vAlign w:val="center"/>
          </w:tcPr>
          <w:p>
            <w:pPr>
              <w:snapToGrid w:val="0"/>
              <w:rPr>
                <w:rFonts w:ascii="仿宋_GB2312" w:eastAsia="仿宋_GB2312"/>
                <w:sz w:val="24"/>
              </w:rPr>
            </w:pPr>
            <w:r>
              <w:rPr>
                <w:rFonts w:hint="eastAsia" w:ascii="仿宋_GB2312" w:eastAsia="仿宋_GB2312"/>
                <w:sz w:val="24"/>
              </w:rPr>
              <w:t>完成普惠性民办园认定，加快推进城镇小区配套幼儿园治理</w:t>
            </w:r>
          </w:p>
        </w:tc>
        <w:tc>
          <w:tcPr>
            <w:tcW w:w="1189" w:type="dxa"/>
            <w:tcBorders>
              <w:left w:val="nil"/>
            </w:tcBorders>
            <w:vAlign w:val="center"/>
          </w:tcPr>
          <w:p>
            <w:pPr>
              <w:snapToGrid w:val="0"/>
              <w:jc w:val="center"/>
              <w:rPr>
                <w:rFonts w:ascii="仿宋_GB2312" w:eastAsia="仿宋_GB2312"/>
                <w:sz w:val="24"/>
              </w:rPr>
            </w:pPr>
            <w:r>
              <w:rPr>
                <w:rFonts w:hint="eastAsia" w:ascii="仿宋_GB2312" w:eastAsia="仿宋_GB2312"/>
                <w:sz w:val="24"/>
              </w:rPr>
              <w:t>蔡亚利</w:t>
            </w:r>
          </w:p>
        </w:tc>
        <w:tc>
          <w:tcPr>
            <w:tcW w:w="1566" w:type="dxa"/>
            <w:tcBorders>
              <w:left w:val="nil"/>
            </w:tcBorders>
            <w:vAlign w:val="center"/>
          </w:tcPr>
          <w:p>
            <w:pPr>
              <w:snapToGrid w:val="0"/>
              <w:jc w:val="center"/>
              <w:rPr>
                <w:rFonts w:ascii="仿宋_GB2312" w:eastAsia="仿宋_GB2312"/>
                <w:sz w:val="24"/>
              </w:rPr>
            </w:pPr>
            <w:r>
              <w:rPr>
                <w:rFonts w:hint="eastAsia" w:ascii="仿宋_GB2312" w:eastAsia="仿宋_GB2312"/>
                <w:sz w:val="24"/>
              </w:rPr>
              <w:t>学前股</w:t>
            </w:r>
          </w:p>
        </w:tc>
        <w:tc>
          <w:tcPr>
            <w:tcW w:w="1270" w:type="dxa"/>
            <w:tcBorders>
              <w:left w:val="nil"/>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619" w:type="dxa"/>
            <w:vAlign w:val="center"/>
          </w:tcPr>
          <w:p>
            <w:pPr>
              <w:snapToGrid w:val="0"/>
              <w:jc w:val="center"/>
              <w:rPr>
                <w:rFonts w:ascii="仿宋_GB2312" w:eastAsia="仿宋_GB2312"/>
                <w:sz w:val="24"/>
              </w:rPr>
            </w:pPr>
            <w:r>
              <w:rPr>
                <w:rFonts w:ascii="仿宋_GB2312" w:eastAsia="仿宋_GB2312"/>
                <w:sz w:val="24"/>
              </w:rPr>
              <w:t>4</w:t>
            </w:r>
          </w:p>
        </w:tc>
        <w:tc>
          <w:tcPr>
            <w:tcW w:w="1439" w:type="dxa"/>
            <w:vMerge w:val="continue"/>
            <w:tcBorders>
              <w:top w:val="nil"/>
              <w:left w:val="nil"/>
            </w:tcBorders>
            <w:vAlign w:val="center"/>
          </w:tcPr>
          <w:p>
            <w:pPr>
              <w:widowControl/>
              <w:jc w:val="left"/>
              <w:rPr>
                <w:rFonts w:ascii="仿宋_GB2312" w:eastAsia="仿宋_GB2312"/>
                <w:sz w:val="24"/>
              </w:rPr>
            </w:pPr>
          </w:p>
        </w:tc>
        <w:tc>
          <w:tcPr>
            <w:tcW w:w="8068" w:type="dxa"/>
            <w:tcBorders>
              <w:left w:val="nil"/>
            </w:tcBorders>
            <w:vAlign w:val="center"/>
          </w:tcPr>
          <w:p>
            <w:pPr>
              <w:snapToGrid w:val="0"/>
              <w:rPr>
                <w:rFonts w:ascii="仿宋_GB2312" w:eastAsia="仿宋_GB2312"/>
                <w:sz w:val="24"/>
              </w:rPr>
            </w:pPr>
            <w:r>
              <w:rPr>
                <w:rFonts w:hint="eastAsia" w:ascii="仿宋_GB2312" w:eastAsia="仿宋_GB2312"/>
                <w:spacing w:val="-6"/>
                <w:sz w:val="24"/>
              </w:rPr>
              <w:t>完成</w:t>
            </w:r>
            <w:r>
              <w:rPr>
                <w:rFonts w:ascii="仿宋_GB2312" w:eastAsia="仿宋_GB2312"/>
                <w:spacing w:val="-6"/>
                <w:sz w:val="24"/>
              </w:rPr>
              <w:t>2</w:t>
            </w:r>
            <w:r>
              <w:rPr>
                <w:rFonts w:hint="eastAsia" w:ascii="仿宋_GB2312" w:eastAsia="仿宋_GB2312"/>
                <w:spacing w:val="-6"/>
                <w:sz w:val="24"/>
              </w:rPr>
              <w:t>所城区学校提质改造，完成东山中心小学扩建、教师进修学校南校门改造、特教学校综合楼及</w:t>
            </w:r>
            <w:r>
              <w:rPr>
                <w:rFonts w:ascii="仿宋_GB2312" w:eastAsia="仿宋_GB2312"/>
                <w:spacing w:val="-6"/>
                <w:sz w:val="24"/>
              </w:rPr>
              <w:t>2</w:t>
            </w:r>
            <w:r>
              <w:rPr>
                <w:rFonts w:hint="eastAsia" w:ascii="仿宋_GB2312" w:eastAsia="仿宋_GB2312"/>
                <w:spacing w:val="-6"/>
                <w:sz w:val="24"/>
              </w:rPr>
              <w:t>所公办幼儿园建设，启动城区标准化小学建设，全面化解义务教育阶段大班额和高中阶段超大班额，提高公办园在园幼儿占比</w:t>
            </w:r>
          </w:p>
        </w:tc>
        <w:tc>
          <w:tcPr>
            <w:tcW w:w="1189" w:type="dxa"/>
            <w:tcBorders>
              <w:left w:val="nil"/>
            </w:tcBorders>
            <w:vAlign w:val="center"/>
          </w:tcPr>
          <w:p>
            <w:pPr>
              <w:snapToGrid w:val="0"/>
              <w:jc w:val="center"/>
              <w:rPr>
                <w:rFonts w:ascii="仿宋_GB2312" w:eastAsia="仿宋_GB2312"/>
                <w:sz w:val="24"/>
              </w:rPr>
            </w:pPr>
            <w:r>
              <w:rPr>
                <w:rFonts w:hint="eastAsia" w:ascii="仿宋_GB2312" w:eastAsia="仿宋_GB2312"/>
                <w:sz w:val="24"/>
              </w:rPr>
              <w:t>何</w:t>
            </w:r>
            <w:r>
              <w:rPr>
                <w:rFonts w:ascii="仿宋_GB2312" w:eastAsia="仿宋_GB2312"/>
                <w:sz w:val="24"/>
              </w:rPr>
              <w:t xml:space="preserve">  </w:t>
            </w:r>
            <w:r>
              <w:rPr>
                <w:rFonts w:hint="eastAsia" w:ascii="仿宋_GB2312" w:eastAsia="仿宋_GB2312"/>
                <w:sz w:val="24"/>
              </w:rPr>
              <w:t>军</w:t>
            </w:r>
          </w:p>
        </w:tc>
        <w:tc>
          <w:tcPr>
            <w:tcW w:w="1566" w:type="dxa"/>
            <w:tcBorders>
              <w:left w:val="nil"/>
            </w:tcBorders>
            <w:vAlign w:val="center"/>
          </w:tcPr>
          <w:p>
            <w:pPr>
              <w:snapToGrid w:val="0"/>
              <w:jc w:val="center"/>
              <w:rPr>
                <w:rFonts w:ascii="仿宋_GB2312" w:eastAsia="仿宋_GB2312"/>
                <w:sz w:val="24"/>
              </w:rPr>
            </w:pPr>
            <w:r>
              <w:rPr>
                <w:rFonts w:hint="eastAsia" w:ascii="仿宋_GB2312" w:eastAsia="仿宋_GB2312"/>
                <w:sz w:val="24"/>
              </w:rPr>
              <w:t>计财股</w:t>
            </w:r>
          </w:p>
        </w:tc>
        <w:tc>
          <w:tcPr>
            <w:tcW w:w="1270" w:type="dxa"/>
            <w:tcBorders>
              <w:left w:val="nil"/>
            </w:tcBorders>
            <w:vAlign w:val="center"/>
          </w:tcPr>
          <w:p>
            <w:pPr>
              <w:snapToGrid w:val="0"/>
              <w:jc w:val="center"/>
              <w:rPr>
                <w:rFonts w:ascii="仿宋_GB2312" w:eastAsia="仿宋_GB2312"/>
                <w:sz w:val="24"/>
              </w:rPr>
            </w:pPr>
            <w:r>
              <w:rPr>
                <w:rFonts w:hint="eastAsia" w:ascii="仿宋_GB2312" w:eastAsia="仿宋_GB2312"/>
                <w:sz w:val="24"/>
              </w:rPr>
              <w:t>基教股</w:t>
            </w:r>
          </w:p>
          <w:p>
            <w:pPr>
              <w:snapToGrid w:val="0"/>
              <w:jc w:val="center"/>
              <w:rPr>
                <w:rFonts w:ascii="仿宋_GB2312" w:eastAsia="仿宋_GB2312"/>
                <w:sz w:val="24"/>
              </w:rPr>
            </w:pPr>
            <w:r>
              <w:rPr>
                <w:rFonts w:hint="eastAsia" w:ascii="仿宋_GB2312" w:eastAsia="仿宋_GB2312"/>
                <w:sz w:val="24"/>
              </w:rPr>
              <w:t>学前股</w:t>
            </w:r>
          </w:p>
          <w:p>
            <w:pPr>
              <w:snapToGrid w:val="0"/>
              <w:jc w:val="center"/>
              <w:rPr>
                <w:rFonts w:ascii="仿宋_GB2312" w:eastAsia="仿宋_GB2312"/>
                <w:sz w:val="24"/>
              </w:rPr>
            </w:pPr>
            <w:r>
              <w:rPr>
                <w:rFonts w:hint="eastAsia" w:ascii="仿宋_GB2312" w:eastAsia="仿宋_GB2312"/>
                <w:sz w:val="24"/>
              </w:rPr>
              <w:t>相关学校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619" w:type="dxa"/>
            <w:vAlign w:val="center"/>
          </w:tcPr>
          <w:p>
            <w:pPr>
              <w:snapToGrid w:val="0"/>
              <w:jc w:val="center"/>
              <w:rPr>
                <w:rFonts w:ascii="仿宋_GB2312" w:eastAsia="仿宋_GB2312"/>
                <w:sz w:val="24"/>
              </w:rPr>
            </w:pPr>
            <w:r>
              <w:rPr>
                <w:rFonts w:ascii="仿宋_GB2312" w:eastAsia="仿宋_GB2312"/>
                <w:sz w:val="24"/>
              </w:rPr>
              <w:t>5</w:t>
            </w:r>
          </w:p>
        </w:tc>
        <w:tc>
          <w:tcPr>
            <w:tcW w:w="1439" w:type="dxa"/>
            <w:vMerge w:val="continue"/>
            <w:tcBorders>
              <w:top w:val="nil"/>
              <w:left w:val="nil"/>
            </w:tcBorders>
            <w:vAlign w:val="center"/>
          </w:tcPr>
          <w:p>
            <w:pPr>
              <w:widowControl/>
              <w:jc w:val="left"/>
              <w:rPr>
                <w:rFonts w:ascii="仿宋_GB2312" w:eastAsia="仿宋_GB2312"/>
                <w:sz w:val="24"/>
              </w:rPr>
            </w:pPr>
          </w:p>
        </w:tc>
        <w:tc>
          <w:tcPr>
            <w:tcW w:w="8068" w:type="dxa"/>
            <w:tcBorders>
              <w:left w:val="nil"/>
            </w:tcBorders>
            <w:vAlign w:val="center"/>
          </w:tcPr>
          <w:p>
            <w:pPr>
              <w:snapToGrid w:val="0"/>
              <w:rPr>
                <w:rFonts w:ascii="仿宋_GB2312" w:eastAsia="仿宋_GB2312"/>
                <w:sz w:val="24"/>
              </w:rPr>
            </w:pPr>
            <w:r>
              <w:rPr>
                <w:rFonts w:hint="eastAsia" w:ascii="仿宋_GB2312" w:eastAsia="仿宋_GB2312"/>
                <w:sz w:val="24"/>
              </w:rPr>
              <w:t>加快推进校园安防“三项”建设；全面升级校车监控系统</w:t>
            </w:r>
          </w:p>
        </w:tc>
        <w:tc>
          <w:tcPr>
            <w:tcW w:w="1189" w:type="dxa"/>
            <w:tcBorders>
              <w:left w:val="nil"/>
            </w:tcBorders>
            <w:vAlign w:val="center"/>
          </w:tcPr>
          <w:p>
            <w:pPr>
              <w:snapToGrid w:val="0"/>
              <w:jc w:val="center"/>
              <w:rPr>
                <w:rFonts w:ascii="仿宋_GB2312" w:eastAsia="仿宋_GB2312"/>
                <w:sz w:val="24"/>
              </w:rPr>
            </w:pPr>
            <w:r>
              <w:rPr>
                <w:rFonts w:hint="eastAsia" w:ascii="仿宋_GB2312" w:eastAsia="仿宋_GB2312"/>
                <w:sz w:val="24"/>
              </w:rPr>
              <w:t>戴方栎</w:t>
            </w:r>
          </w:p>
        </w:tc>
        <w:tc>
          <w:tcPr>
            <w:tcW w:w="1566" w:type="dxa"/>
            <w:tcBorders>
              <w:left w:val="nil"/>
            </w:tcBorders>
            <w:vAlign w:val="center"/>
          </w:tcPr>
          <w:p>
            <w:pPr>
              <w:snapToGrid w:val="0"/>
              <w:jc w:val="center"/>
              <w:rPr>
                <w:rFonts w:ascii="仿宋_GB2312" w:eastAsia="仿宋_GB2312"/>
                <w:sz w:val="24"/>
              </w:rPr>
            </w:pPr>
            <w:r>
              <w:rPr>
                <w:rFonts w:hint="eastAsia" w:ascii="仿宋_GB2312" w:eastAsia="仿宋_GB2312"/>
                <w:sz w:val="24"/>
              </w:rPr>
              <w:t>法制安全股</w:t>
            </w:r>
          </w:p>
          <w:p>
            <w:pPr>
              <w:snapToGrid w:val="0"/>
              <w:jc w:val="center"/>
              <w:rPr>
                <w:rFonts w:ascii="仿宋_GB2312" w:eastAsia="仿宋_GB2312"/>
                <w:sz w:val="24"/>
              </w:rPr>
            </w:pPr>
            <w:r>
              <w:rPr>
                <w:rFonts w:hint="eastAsia" w:ascii="仿宋_GB2312" w:eastAsia="仿宋_GB2312"/>
                <w:sz w:val="24"/>
              </w:rPr>
              <w:t>校车办</w:t>
            </w:r>
          </w:p>
        </w:tc>
        <w:tc>
          <w:tcPr>
            <w:tcW w:w="1270" w:type="dxa"/>
            <w:tcBorders>
              <w:left w:val="nil"/>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19" w:type="dxa"/>
            <w:vAlign w:val="center"/>
          </w:tcPr>
          <w:p>
            <w:pPr>
              <w:snapToGrid w:val="0"/>
              <w:jc w:val="center"/>
              <w:rPr>
                <w:rFonts w:ascii="仿宋_GB2312" w:eastAsia="仿宋_GB2312"/>
                <w:sz w:val="24"/>
              </w:rPr>
            </w:pPr>
            <w:r>
              <w:rPr>
                <w:rFonts w:ascii="仿宋_GB2312" w:eastAsia="仿宋_GB2312"/>
                <w:sz w:val="24"/>
              </w:rPr>
              <w:t>6</w:t>
            </w:r>
          </w:p>
        </w:tc>
        <w:tc>
          <w:tcPr>
            <w:tcW w:w="1439" w:type="dxa"/>
            <w:vMerge w:val="restart"/>
            <w:tcBorders>
              <w:top w:val="nil"/>
              <w:left w:val="nil"/>
            </w:tcBorders>
            <w:vAlign w:val="center"/>
          </w:tcPr>
          <w:p>
            <w:pPr>
              <w:snapToGrid w:val="0"/>
              <w:jc w:val="center"/>
              <w:rPr>
                <w:rFonts w:ascii="仿宋_GB2312" w:eastAsia="仿宋_GB2312"/>
                <w:sz w:val="24"/>
              </w:rPr>
            </w:pPr>
            <w:r>
              <w:rPr>
                <w:rFonts w:hint="eastAsia" w:ascii="仿宋_GB2312" w:eastAsia="仿宋_GB2312"/>
                <w:sz w:val="24"/>
              </w:rPr>
              <w:t>队伍建设</w:t>
            </w:r>
          </w:p>
        </w:tc>
        <w:tc>
          <w:tcPr>
            <w:tcW w:w="8068" w:type="dxa"/>
            <w:tcBorders>
              <w:left w:val="nil"/>
            </w:tcBorders>
            <w:vAlign w:val="center"/>
          </w:tcPr>
          <w:p>
            <w:pPr>
              <w:snapToGrid w:val="0"/>
              <w:rPr>
                <w:rFonts w:ascii="仿宋_GB2312" w:eastAsia="仿宋_GB2312"/>
                <w:sz w:val="24"/>
              </w:rPr>
            </w:pPr>
            <w:r>
              <w:rPr>
                <w:rFonts w:hint="eastAsia" w:ascii="仿宋_GB2312" w:eastAsia="仿宋_GB2312"/>
                <w:sz w:val="24"/>
              </w:rPr>
              <w:t>开展第三批名师名校长评选</w:t>
            </w:r>
          </w:p>
        </w:tc>
        <w:tc>
          <w:tcPr>
            <w:tcW w:w="1189" w:type="dxa"/>
            <w:tcBorders>
              <w:left w:val="nil"/>
            </w:tcBorders>
            <w:vAlign w:val="center"/>
          </w:tcPr>
          <w:p>
            <w:pPr>
              <w:snapToGrid w:val="0"/>
              <w:jc w:val="center"/>
              <w:rPr>
                <w:rFonts w:ascii="仿宋_GB2312" w:eastAsia="仿宋_GB2312"/>
                <w:sz w:val="24"/>
              </w:rPr>
            </w:pPr>
            <w:r>
              <w:rPr>
                <w:rFonts w:hint="eastAsia" w:ascii="仿宋_GB2312" w:eastAsia="仿宋_GB2312"/>
                <w:sz w:val="24"/>
              </w:rPr>
              <w:t>杨宏发</w:t>
            </w:r>
          </w:p>
        </w:tc>
        <w:tc>
          <w:tcPr>
            <w:tcW w:w="1566" w:type="dxa"/>
            <w:tcBorders>
              <w:left w:val="nil"/>
            </w:tcBorders>
            <w:vAlign w:val="center"/>
          </w:tcPr>
          <w:p>
            <w:pPr>
              <w:snapToGrid w:val="0"/>
              <w:jc w:val="center"/>
              <w:rPr>
                <w:rFonts w:ascii="仿宋_GB2312" w:eastAsia="仿宋_GB2312"/>
                <w:sz w:val="24"/>
              </w:rPr>
            </w:pPr>
            <w:r>
              <w:rPr>
                <w:rFonts w:hint="eastAsia" w:ascii="仿宋_GB2312" w:eastAsia="仿宋_GB2312"/>
                <w:sz w:val="24"/>
              </w:rPr>
              <w:t>人事股</w:t>
            </w:r>
          </w:p>
        </w:tc>
        <w:tc>
          <w:tcPr>
            <w:tcW w:w="1270" w:type="dxa"/>
            <w:tcBorders>
              <w:left w:val="nil"/>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619" w:type="dxa"/>
            <w:vAlign w:val="center"/>
          </w:tcPr>
          <w:p>
            <w:pPr>
              <w:snapToGrid w:val="0"/>
              <w:jc w:val="center"/>
              <w:rPr>
                <w:rFonts w:ascii="仿宋_GB2312" w:eastAsia="仿宋_GB2312"/>
                <w:sz w:val="24"/>
              </w:rPr>
            </w:pPr>
            <w:r>
              <w:rPr>
                <w:rFonts w:ascii="仿宋_GB2312" w:eastAsia="仿宋_GB2312"/>
                <w:sz w:val="24"/>
              </w:rPr>
              <w:t>7</w:t>
            </w:r>
          </w:p>
        </w:tc>
        <w:tc>
          <w:tcPr>
            <w:tcW w:w="1439" w:type="dxa"/>
            <w:vMerge w:val="continue"/>
            <w:tcBorders>
              <w:top w:val="nil"/>
              <w:left w:val="nil"/>
            </w:tcBorders>
            <w:vAlign w:val="center"/>
          </w:tcPr>
          <w:p>
            <w:pPr>
              <w:widowControl/>
              <w:jc w:val="left"/>
              <w:rPr>
                <w:rFonts w:ascii="仿宋_GB2312" w:eastAsia="仿宋_GB2312"/>
                <w:sz w:val="24"/>
              </w:rPr>
            </w:pPr>
          </w:p>
        </w:tc>
        <w:tc>
          <w:tcPr>
            <w:tcW w:w="8068" w:type="dxa"/>
            <w:tcBorders>
              <w:left w:val="nil"/>
            </w:tcBorders>
            <w:vAlign w:val="center"/>
          </w:tcPr>
          <w:p>
            <w:pPr>
              <w:snapToGrid w:val="0"/>
              <w:rPr>
                <w:rFonts w:ascii="仿宋_GB2312" w:eastAsia="仿宋_GB2312"/>
                <w:sz w:val="24"/>
              </w:rPr>
            </w:pPr>
            <w:r>
              <w:rPr>
                <w:rFonts w:hint="eastAsia" w:ascii="仿宋_GB2312" w:eastAsia="仿宋_GB2312"/>
                <w:sz w:val="24"/>
              </w:rPr>
              <w:t>进一步加强青年教师培养</w:t>
            </w:r>
          </w:p>
        </w:tc>
        <w:tc>
          <w:tcPr>
            <w:tcW w:w="1189" w:type="dxa"/>
            <w:vMerge w:val="restart"/>
            <w:tcBorders>
              <w:top w:val="nil"/>
              <w:left w:val="nil"/>
            </w:tcBorders>
            <w:vAlign w:val="center"/>
          </w:tcPr>
          <w:p>
            <w:pPr>
              <w:snapToGrid w:val="0"/>
              <w:jc w:val="center"/>
              <w:rPr>
                <w:rFonts w:ascii="仿宋_GB2312" w:eastAsia="仿宋_GB2312"/>
                <w:sz w:val="24"/>
              </w:rPr>
            </w:pPr>
            <w:r>
              <w:rPr>
                <w:rFonts w:hint="eastAsia" w:ascii="仿宋_GB2312" w:eastAsia="仿宋_GB2312"/>
                <w:sz w:val="24"/>
              </w:rPr>
              <w:t>蔡亚利</w:t>
            </w:r>
          </w:p>
        </w:tc>
        <w:tc>
          <w:tcPr>
            <w:tcW w:w="1566" w:type="dxa"/>
            <w:tcBorders>
              <w:left w:val="nil"/>
            </w:tcBorders>
            <w:vAlign w:val="center"/>
          </w:tcPr>
          <w:p>
            <w:pPr>
              <w:snapToGrid w:val="0"/>
              <w:jc w:val="center"/>
              <w:rPr>
                <w:rFonts w:ascii="仿宋_GB2312" w:eastAsia="仿宋_GB2312"/>
                <w:sz w:val="24"/>
              </w:rPr>
            </w:pPr>
            <w:r>
              <w:rPr>
                <w:rFonts w:hint="eastAsia" w:ascii="仿宋_GB2312" w:eastAsia="仿宋_GB2312"/>
                <w:sz w:val="24"/>
              </w:rPr>
              <w:t>教师工作股</w:t>
            </w:r>
          </w:p>
        </w:tc>
        <w:tc>
          <w:tcPr>
            <w:tcW w:w="1270" w:type="dxa"/>
            <w:tcBorders>
              <w:left w:val="nil"/>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619" w:type="dxa"/>
            <w:vAlign w:val="center"/>
          </w:tcPr>
          <w:p>
            <w:pPr>
              <w:snapToGrid w:val="0"/>
              <w:jc w:val="center"/>
              <w:rPr>
                <w:rFonts w:ascii="仿宋_GB2312" w:eastAsia="仿宋_GB2312"/>
                <w:sz w:val="24"/>
              </w:rPr>
            </w:pPr>
            <w:r>
              <w:rPr>
                <w:rFonts w:ascii="仿宋_GB2312" w:eastAsia="仿宋_GB2312"/>
                <w:sz w:val="24"/>
              </w:rPr>
              <w:t>8</w:t>
            </w:r>
          </w:p>
        </w:tc>
        <w:tc>
          <w:tcPr>
            <w:tcW w:w="1439" w:type="dxa"/>
            <w:vMerge w:val="continue"/>
            <w:tcBorders>
              <w:top w:val="nil"/>
              <w:left w:val="nil"/>
            </w:tcBorders>
            <w:vAlign w:val="center"/>
          </w:tcPr>
          <w:p>
            <w:pPr>
              <w:widowControl/>
              <w:jc w:val="left"/>
              <w:rPr>
                <w:rFonts w:ascii="仿宋_GB2312" w:eastAsia="仿宋_GB2312"/>
                <w:sz w:val="24"/>
              </w:rPr>
            </w:pPr>
          </w:p>
        </w:tc>
        <w:tc>
          <w:tcPr>
            <w:tcW w:w="8068" w:type="dxa"/>
            <w:tcBorders>
              <w:left w:val="nil"/>
            </w:tcBorders>
            <w:vAlign w:val="center"/>
          </w:tcPr>
          <w:p>
            <w:pPr>
              <w:snapToGrid w:val="0"/>
              <w:rPr>
                <w:rFonts w:ascii="仿宋_GB2312" w:eastAsia="仿宋_GB2312"/>
                <w:sz w:val="24"/>
              </w:rPr>
            </w:pPr>
            <w:r>
              <w:rPr>
                <w:rFonts w:hint="eastAsia" w:ascii="仿宋_GB2312" w:eastAsia="仿宋_GB2312"/>
                <w:sz w:val="24"/>
              </w:rPr>
              <w:t>实施第五批“种子计划”，选派干部教师到省内名校跟班培训</w:t>
            </w:r>
          </w:p>
        </w:tc>
        <w:tc>
          <w:tcPr>
            <w:tcW w:w="1189" w:type="dxa"/>
            <w:vMerge w:val="continue"/>
            <w:tcBorders>
              <w:top w:val="nil"/>
              <w:left w:val="nil"/>
            </w:tcBorders>
            <w:vAlign w:val="center"/>
          </w:tcPr>
          <w:p>
            <w:pPr>
              <w:widowControl/>
              <w:jc w:val="left"/>
              <w:rPr>
                <w:rFonts w:ascii="仿宋_GB2312" w:eastAsia="仿宋_GB2312"/>
                <w:sz w:val="24"/>
              </w:rPr>
            </w:pPr>
          </w:p>
        </w:tc>
        <w:tc>
          <w:tcPr>
            <w:tcW w:w="1566" w:type="dxa"/>
            <w:tcBorders>
              <w:left w:val="nil"/>
            </w:tcBorders>
            <w:vAlign w:val="center"/>
          </w:tcPr>
          <w:p>
            <w:pPr>
              <w:snapToGrid w:val="0"/>
              <w:jc w:val="center"/>
              <w:rPr>
                <w:rFonts w:ascii="仿宋_GB2312" w:eastAsia="仿宋_GB2312"/>
                <w:sz w:val="24"/>
              </w:rPr>
            </w:pPr>
            <w:r>
              <w:rPr>
                <w:rFonts w:hint="eastAsia" w:ascii="仿宋_GB2312" w:eastAsia="仿宋_GB2312"/>
                <w:sz w:val="24"/>
              </w:rPr>
              <w:t>教师工作股</w:t>
            </w:r>
          </w:p>
        </w:tc>
        <w:tc>
          <w:tcPr>
            <w:tcW w:w="1270" w:type="dxa"/>
            <w:tcBorders>
              <w:left w:val="nil"/>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619" w:type="dxa"/>
            <w:vAlign w:val="center"/>
          </w:tcPr>
          <w:p>
            <w:pPr>
              <w:snapToGrid w:val="0"/>
              <w:jc w:val="center"/>
              <w:rPr>
                <w:rFonts w:ascii="仿宋_GB2312" w:eastAsia="仿宋_GB2312"/>
                <w:sz w:val="24"/>
              </w:rPr>
            </w:pPr>
            <w:r>
              <w:rPr>
                <w:rFonts w:ascii="仿宋_GB2312" w:eastAsia="仿宋_GB2312"/>
                <w:sz w:val="24"/>
              </w:rPr>
              <w:t>9</w:t>
            </w:r>
          </w:p>
        </w:tc>
        <w:tc>
          <w:tcPr>
            <w:tcW w:w="1439" w:type="dxa"/>
            <w:vMerge w:val="continue"/>
            <w:tcBorders>
              <w:top w:val="nil"/>
              <w:left w:val="nil"/>
            </w:tcBorders>
            <w:vAlign w:val="center"/>
          </w:tcPr>
          <w:p>
            <w:pPr>
              <w:widowControl/>
              <w:jc w:val="left"/>
              <w:rPr>
                <w:rFonts w:ascii="仿宋_GB2312" w:eastAsia="仿宋_GB2312"/>
                <w:sz w:val="24"/>
              </w:rPr>
            </w:pPr>
          </w:p>
        </w:tc>
        <w:tc>
          <w:tcPr>
            <w:tcW w:w="8068" w:type="dxa"/>
            <w:tcBorders>
              <w:left w:val="nil"/>
            </w:tcBorders>
            <w:vAlign w:val="center"/>
          </w:tcPr>
          <w:p>
            <w:pPr>
              <w:snapToGrid w:val="0"/>
              <w:rPr>
                <w:rFonts w:ascii="仿宋_GB2312" w:eastAsia="仿宋_GB2312"/>
                <w:sz w:val="24"/>
              </w:rPr>
            </w:pPr>
            <w:r>
              <w:rPr>
                <w:rFonts w:hint="eastAsia" w:ascii="仿宋_GB2312" w:eastAsia="仿宋_GB2312"/>
                <w:sz w:val="24"/>
              </w:rPr>
              <w:t>举办第二届“感动华容教育”颁奖典礼</w:t>
            </w:r>
          </w:p>
        </w:tc>
        <w:tc>
          <w:tcPr>
            <w:tcW w:w="1189" w:type="dxa"/>
            <w:vMerge w:val="continue"/>
            <w:tcBorders>
              <w:top w:val="nil"/>
              <w:left w:val="nil"/>
            </w:tcBorders>
            <w:vAlign w:val="center"/>
          </w:tcPr>
          <w:p>
            <w:pPr>
              <w:widowControl/>
              <w:jc w:val="left"/>
              <w:rPr>
                <w:rFonts w:ascii="仿宋_GB2312" w:eastAsia="仿宋_GB2312"/>
                <w:sz w:val="24"/>
              </w:rPr>
            </w:pPr>
          </w:p>
        </w:tc>
        <w:tc>
          <w:tcPr>
            <w:tcW w:w="1566" w:type="dxa"/>
            <w:tcBorders>
              <w:left w:val="nil"/>
            </w:tcBorders>
            <w:vAlign w:val="center"/>
          </w:tcPr>
          <w:p>
            <w:pPr>
              <w:snapToGrid w:val="0"/>
              <w:jc w:val="center"/>
              <w:rPr>
                <w:rFonts w:ascii="仿宋_GB2312" w:eastAsia="仿宋_GB2312"/>
                <w:sz w:val="24"/>
              </w:rPr>
            </w:pPr>
            <w:r>
              <w:rPr>
                <w:rFonts w:hint="eastAsia" w:ascii="仿宋_GB2312" w:eastAsia="仿宋_GB2312"/>
                <w:sz w:val="24"/>
              </w:rPr>
              <w:t>体卫股</w:t>
            </w:r>
          </w:p>
        </w:tc>
        <w:tc>
          <w:tcPr>
            <w:tcW w:w="1270" w:type="dxa"/>
            <w:tcBorders>
              <w:left w:val="nil"/>
            </w:tcBorders>
            <w:vAlign w:val="center"/>
          </w:tcPr>
          <w:p>
            <w:pPr>
              <w:snapToGrid w:val="0"/>
              <w:jc w:val="center"/>
              <w:rPr>
                <w:rFonts w:ascii="仿宋_GB2312" w:eastAsia="仿宋_GB2312"/>
                <w:sz w:val="24"/>
              </w:rPr>
            </w:pPr>
            <w:r>
              <w:rPr>
                <w:rFonts w:hint="eastAsia" w:ascii="仿宋_GB2312" w:eastAsia="仿宋_GB2312"/>
                <w:sz w:val="24"/>
              </w:rPr>
              <w:t>相关股室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619" w:type="dxa"/>
            <w:vAlign w:val="center"/>
          </w:tcPr>
          <w:p>
            <w:pPr>
              <w:snapToGrid w:val="0"/>
              <w:jc w:val="center"/>
              <w:rPr>
                <w:rFonts w:ascii="仿宋_GB2312" w:eastAsia="仿宋_GB2312"/>
                <w:sz w:val="24"/>
              </w:rPr>
            </w:pPr>
            <w:r>
              <w:rPr>
                <w:rFonts w:ascii="仿宋_GB2312" w:eastAsia="仿宋_GB2312"/>
                <w:sz w:val="24"/>
              </w:rPr>
              <w:t>10</w:t>
            </w:r>
          </w:p>
        </w:tc>
        <w:tc>
          <w:tcPr>
            <w:tcW w:w="1439" w:type="dxa"/>
            <w:vMerge w:val="restart"/>
            <w:tcBorders>
              <w:top w:val="nil"/>
              <w:left w:val="nil"/>
            </w:tcBorders>
            <w:vAlign w:val="center"/>
          </w:tcPr>
          <w:p>
            <w:pPr>
              <w:snapToGrid w:val="0"/>
              <w:jc w:val="center"/>
              <w:rPr>
                <w:rFonts w:ascii="仿宋_GB2312" w:eastAsia="仿宋_GB2312"/>
                <w:sz w:val="24"/>
              </w:rPr>
            </w:pPr>
            <w:r>
              <w:rPr>
                <w:rFonts w:hint="eastAsia" w:ascii="仿宋_GB2312" w:eastAsia="仿宋_GB2312"/>
                <w:sz w:val="24"/>
              </w:rPr>
              <w:t>规范管理</w:t>
            </w:r>
          </w:p>
        </w:tc>
        <w:tc>
          <w:tcPr>
            <w:tcW w:w="8068" w:type="dxa"/>
            <w:tcBorders>
              <w:left w:val="nil"/>
            </w:tcBorders>
            <w:vAlign w:val="center"/>
          </w:tcPr>
          <w:p>
            <w:pPr>
              <w:snapToGrid w:val="0"/>
              <w:rPr>
                <w:rFonts w:ascii="仿宋_GB2312" w:eastAsia="仿宋_GB2312"/>
                <w:sz w:val="24"/>
              </w:rPr>
            </w:pPr>
            <w:r>
              <w:rPr>
                <w:rFonts w:hint="eastAsia" w:ascii="仿宋_GB2312" w:eastAsia="仿宋_GB2312"/>
                <w:sz w:val="24"/>
              </w:rPr>
              <w:t>进一步规范学校财务及国有资产管理</w:t>
            </w:r>
          </w:p>
        </w:tc>
        <w:tc>
          <w:tcPr>
            <w:tcW w:w="1189" w:type="dxa"/>
            <w:tcBorders>
              <w:left w:val="nil"/>
            </w:tcBorders>
            <w:vAlign w:val="center"/>
          </w:tcPr>
          <w:p>
            <w:pPr>
              <w:snapToGrid w:val="0"/>
              <w:jc w:val="center"/>
              <w:rPr>
                <w:rFonts w:ascii="仿宋_GB2312" w:eastAsia="仿宋_GB2312"/>
                <w:sz w:val="24"/>
              </w:rPr>
            </w:pPr>
            <w:r>
              <w:rPr>
                <w:rFonts w:hint="eastAsia" w:ascii="仿宋_GB2312" w:eastAsia="仿宋_GB2312"/>
                <w:sz w:val="24"/>
              </w:rPr>
              <w:t>何</w:t>
            </w:r>
            <w:r>
              <w:rPr>
                <w:rFonts w:ascii="仿宋_GB2312" w:eastAsia="仿宋_GB2312"/>
                <w:sz w:val="24"/>
              </w:rPr>
              <w:t xml:space="preserve">  </w:t>
            </w:r>
            <w:r>
              <w:rPr>
                <w:rFonts w:hint="eastAsia" w:ascii="仿宋_GB2312" w:eastAsia="仿宋_GB2312"/>
                <w:sz w:val="24"/>
              </w:rPr>
              <w:t>军</w:t>
            </w:r>
          </w:p>
        </w:tc>
        <w:tc>
          <w:tcPr>
            <w:tcW w:w="1566" w:type="dxa"/>
            <w:tcBorders>
              <w:left w:val="nil"/>
            </w:tcBorders>
            <w:vAlign w:val="center"/>
          </w:tcPr>
          <w:p>
            <w:pPr>
              <w:snapToGrid w:val="0"/>
              <w:jc w:val="center"/>
              <w:rPr>
                <w:rFonts w:ascii="仿宋_GB2312" w:eastAsia="仿宋_GB2312"/>
                <w:sz w:val="24"/>
              </w:rPr>
            </w:pPr>
            <w:r>
              <w:rPr>
                <w:rFonts w:hint="eastAsia" w:ascii="仿宋_GB2312" w:eastAsia="仿宋_GB2312"/>
                <w:sz w:val="24"/>
              </w:rPr>
              <w:t>计财股</w:t>
            </w:r>
          </w:p>
        </w:tc>
        <w:tc>
          <w:tcPr>
            <w:tcW w:w="1270" w:type="dxa"/>
            <w:tcBorders>
              <w:left w:val="nil"/>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619" w:type="dxa"/>
            <w:vAlign w:val="center"/>
          </w:tcPr>
          <w:p>
            <w:pPr>
              <w:snapToGrid w:val="0"/>
              <w:jc w:val="center"/>
              <w:rPr>
                <w:rFonts w:ascii="仿宋_GB2312" w:eastAsia="仿宋_GB2312"/>
                <w:sz w:val="24"/>
              </w:rPr>
            </w:pPr>
            <w:r>
              <w:rPr>
                <w:rFonts w:ascii="仿宋_GB2312" w:eastAsia="仿宋_GB2312"/>
                <w:sz w:val="24"/>
              </w:rPr>
              <w:t>11</w:t>
            </w:r>
          </w:p>
        </w:tc>
        <w:tc>
          <w:tcPr>
            <w:tcW w:w="1439" w:type="dxa"/>
            <w:vMerge w:val="continue"/>
            <w:tcBorders>
              <w:top w:val="nil"/>
              <w:left w:val="nil"/>
            </w:tcBorders>
            <w:vAlign w:val="center"/>
          </w:tcPr>
          <w:p>
            <w:pPr>
              <w:widowControl/>
              <w:jc w:val="left"/>
              <w:rPr>
                <w:rFonts w:ascii="仿宋_GB2312" w:eastAsia="仿宋_GB2312"/>
                <w:sz w:val="24"/>
              </w:rPr>
            </w:pPr>
          </w:p>
        </w:tc>
        <w:tc>
          <w:tcPr>
            <w:tcW w:w="8068" w:type="dxa"/>
            <w:tcBorders>
              <w:left w:val="nil"/>
            </w:tcBorders>
            <w:vAlign w:val="center"/>
          </w:tcPr>
          <w:p>
            <w:pPr>
              <w:snapToGrid w:val="0"/>
              <w:rPr>
                <w:rFonts w:ascii="仿宋_GB2312" w:eastAsia="仿宋_GB2312"/>
                <w:sz w:val="24"/>
              </w:rPr>
            </w:pPr>
            <w:r>
              <w:rPr>
                <w:rFonts w:hint="eastAsia" w:ascii="仿宋_GB2312" w:eastAsia="仿宋_GB2312"/>
                <w:sz w:val="24"/>
              </w:rPr>
              <w:t>统筹督导检查评比考核、社会事务进校园等事宜，切实减轻学校和教师负担</w:t>
            </w:r>
          </w:p>
        </w:tc>
        <w:tc>
          <w:tcPr>
            <w:tcW w:w="1189" w:type="dxa"/>
            <w:tcBorders>
              <w:left w:val="nil"/>
            </w:tcBorders>
            <w:vAlign w:val="center"/>
          </w:tcPr>
          <w:p>
            <w:pPr>
              <w:snapToGrid w:val="0"/>
              <w:jc w:val="center"/>
              <w:rPr>
                <w:rFonts w:ascii="仿宋_GB2312" w:eastAsia="仿宋_GB2312"/>
                <w:sz w:val="24"/>
              </w:rPr>
            </w:pPr>
            <w:r>
              <w:rPr>
                <w:rFonts w:hint="eastAsia" w:ascii="仿宋_GB2312" w:eastAsia="仿宋_GB2312"/>
                <w:sz w:val="24"/>
              </w:rPr>
              <w:t>刘建新</w:t>
            </w:r>
          </w:p>
        </w:tc>
        <w:tc>
          <w:tcPr>
            <w:tcW w:w="1566" w:type="dxa"/>
            <w:tcBorders>
              <w:left w:val="nil"/>
            </w:tcBorders>
            <w:vAlign w:val="center"/>
          </w:tcPr>
          <w:p>
            <w:pPr>
              <w:snapToGrid w:val="0"/>
              <w:jc w:val="center"/>
              <w:rPr>
                <w:rFonts w:ascii="仿宋_GB2312" w:eastAsia="仿宋_GB2312"/>
                <w:sz w:val="24"/>
              </w:rPr>
            </w:pPr>
            <w:r>
              <w:rPr>
                <w:rFonts w:hint="eastAsia" w:ascii="仿宋_GB2312" w:eastAsia="仿宋_GB2312"/>
                <w:sz w:val="24"/>
              </w:rPr>
              <w:t>督导股</w:t>
            </w:r>
          </w:p>
        </w:tc>
        <w:tc>
          <w:tcPr>
            <w:tcW w:w="1270" w:type="dxa"/>
            <w:tcBorders>
              <w:left w:val="nil"/>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619" w:type="dxa"/>
            <w:vAlign w:val="center"/>
          </w:tcPr>
          <w:p>
            <w:pPr>
              <w:snapToGrid w:val="0"/>
              <w:jc w:val="center"/>
              <w:rPr>
                <w:rFonts w:ascii="仿宋_GB2312" w:eastAsia="仿宋_GB2312"/>
                <w:sz w:val="24"/>
              </w:rPr>
            </w:pPr>
            <w:r>
              <w:rPr>
                <w:rFonts w:ascii="仿宋_GB2312" w:eastAsia="仿宋_GB2312"/>
                <w:sz w:val="24"/>
              </w:rPr>
              <w:t>12</w:t>
            </w:r>
          </w:p>
        </w:tc>
        <w:tc>
          <w:tcPr>
            <w:tcW w:w="1439" w:type="dxa"/>
            <w:vMerge w:val="restart"/>
            <w:tcBorders>
              <w:top w:val="nil"/>
              <w:left w:val="nil"/>
            </w:tcBorders>
            <w:vAlign w:val="center"/>
          </w:tcPr>
          <w:p>
            <w:pPr>
              <w:snapToGrid w:val="0"/>
              <w:jc w:val="center"/>
              <w:rPr>
                <w:rFonts w:ascii="仿宋_GB2312" w:eastAsia="仿宋_GB2312"/>
                <w:sz w:val="24"/>
              </w:rPr>
            </w:pPr>
            <w:r>
              <w:rPr>
                <w:rFonts w:hint="eastAsia" w:ascii="仿宋_GB2312" w:eastAsia="仿宋_GB2312"/>
                <w:sz w:val="24"/>
              </w:rPr>
              <w:t>改革创新</w:t>
            </w:r>
          </w:p>
        </w:tc>
        <w:tc>
          <w:tcPr>
            <w:tcW w:w="8068" w:type="dxa"/>
            <w:tcBorders>
              <w:left w:val="nil"/>
            </w:tcBorders>
            <w:vAlign w:val="center"/>
          </w:tcPr>
          <w:p>
            <w:pPr>
              <w:snapToGrid w:val="0"/>
              <w:rPr>
                <w:rFonts w:ascii="仿宋_GB2312" w:eastAsia="仿宋_GB2312"/>
                <w:sz w:val="24"/>
              </w:rPr>
            </w:pPr>
            <w:r>
              <w:rPr>
                <w:rFonts w:hint="eastAsia" w:ascii="仿宋_GB2312" w:eastAsia="仿宋_GB2312"/>
                <w:sz w:val="24"/>
              </w:rPr>
              <w:t>成立全县家庭教育指导委员会、教育决策咨询委员会、社会辅导委员会，建立政府、家庭、学校、社会“四位一体”的教育发展新机制</w:t>
            </w:r>
          </w:p>
        </w:tc>
        <w:tc>
          <w:tcPr>
            <w:tcW w:w="1189" w:type="dxa"/>
            <w:tcBorders>
              <w:left w:val="nil"/>
            </w:tcBorders>
            <w:vAlign w:val="center"/>
          </w:tcPr>
          <w:p>
            <w:pPr>
              <w:snapToGrid w:val="0"/>
              <w:jc w:val="center"/>
              <w:rPr>
                <w:rFonts w:ascii="仿宋_GB2312" w:eastAsia="仿宋_GB2312"/>
                <w:sz w:val="24"/>
              </w:rPr>
            </w:pPr>
            <w:r>
              <w:rPr>
                <w:rFonts w:hint="eastAsia" w:ascii="仿宋_GB2312" w:eastAsia="仿宋_GB2312"/>
                <w:sz w:val="24"/>
              </w:rPr>
              <w:t>杨宏发</w:t>
            </w:r>
          </w:p>
        </w:tc>
        <w:tc>
          <w:tcPr>
            <w:tcW w:w="1566" w:type="dxa"/>
            <w:tcBorders>
              <w:left w:val="nil"/>
            </w:tcBorders>
            <w:vAlign w:val="center"/>
          </w:tcPr>
          <w:p>
            <w:pPr>
              <w:snapToGrid w:val="0"/>
              <w:jc w:val="center"/>
              <w:rPr>
                <w:rFonts w:ascii="仿宋_GB2312" w:eastAsia="仿宋_GB2312"/>
                <w:sz w:val="24"/>
              </w:rPr>
            </w:pPr>
            <w:r>
              <w:rPr>
                <w:rFonts w:hint="eastAsia" w:ascii="仿宋_GB2312" w:eastAsia="仿宋_GB2312"/>
                <w:sz w:val="24"/>
              </w:rPr>
              <w:t>办公室</w:t>
            </w:r>
          </w:p>
        </w:tc>
        <w:tc>
          <w:tcPr>
            <w:tcW w:w="1270" w:type="dxa"/>
            <w:tcBorders>
              <w:left w:val="nil"/>
            </w:tcBorders>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619" w:type="dxa"/>
            <w:vAlign w:val="center"/>
          </w:tcPr>
          <w:p>
            <w:pPr>
              <w:snapToGrid w:val="0"/>
              <w:jc w:val="center"/>
              <w:rPr>
                <w:rFonts w:ascii="仿宋_GB2312" w:eastAsia="仿宋_GB2312"/>
                <w:sz w:val="24"/>
              </w:rPr>
            </w:pPr>
            <w:r>
              <w:rPr>
                <w:rFonts w:ascii="仿宋_GB2312" w:eastAsia="仿宋_GB2312"/>
                <w:sz w:val="24"/>
              </w:rPr>
              <w:t>13</w:t>
            </w:r>
          </w:p>
        </w:tc>
        <w:tc>
          <w:tcPr>
            <w:tcW w:w="1439" w:type="dxa"/>
            <w:vMerge w:val="continue"/>
            <w:tcBorders>
              <w:top w:val="nil"/>
              <w:left w:val="nil"/>
            </w:tcBorders>
            <w:vAlign w:val="center"/>
          </w:tcPr>
          <w:p>
            <w:pPr>
              <w:widowControl/>
              <w:jc w:val="left"/>
              <w:rPr>
                <w:rFonts w:ascii="仿宋_GB2312" w:eastAsia="仿宋_GB2312"/>
                <w:sz w:val="24"/>
              </w:rPr>
            </w:pPr>
          </w:p>
        </w:tc>
        <w:tc>
          <w:tcPr>
            <w:tcW w:w="8068" w:type="dxa"/>
            <w:tcBorders>
              <w:left w:val="nil"/>
            </w:tcBorders>
            <w:vAlign w:val="center"/>
          </w:tcPr>
          <w:p>
            <w:pPr>
              <w:snapToGrid w:val="0"/>
              <w:rPr>
                <w:rFonts w:ascii="仿宋_GB2312" w:eastAsia="仿宋_GB2312"/>
                <w:sz w:val="24"/>
              </w:rPr>
            </w:pPr>
            <w:r>
              <w:rPr>
                <w:rFonts w:hint="eastAsia" w:ascii="仿宋_GB2312" w:eastAsia="仿宋_GB2312"/>
                <w:sz w:val="24"/>
              </w:rPr>
              <w:t>完善选课走班教学管理机制和教育评价制度，推动高中学校多样化特色发展</w:t>
            </w:r>
          </w:p>
        </w:tc>
        <w:tc>
          <w:tcPr>
            <w:tcW w:w="1189" w:type="dxa"/>
            <w:tcBorders>
              <w:left w:val="nil"/>
            </w:tcBorders>
            <w:vAlign w:val="center"/>
          </w:tcPr>
          <w:p>
            <w:pPr>
              <w:snapToGrid w:val="0"/>
              <w:jc w:val="center"/>
              <w:rPr>
                <w:rFonts w:ascii="仿宋_GB2312" w:eastAsia="仿宋_GB2312"/>
                <w:sz w:val="24"/>
              </w:rPr>
            </w:pPr>
            <w:r>
              <w:rPr>
                <w:rFonts w:hint="eastAsia" w:ascii="仿宋_GB2312" w:eastAsia="仿宋_GB2312"/>
                <w:sz w:val="24"/>
              </w:rPr>
              <w:t>刘建新</w:t>
            </w:r>
          </w:p>
        </w:tc>
        <w:tc>
          <w:tcPr>
            <w:tcW w:w="1566" w:type="dxa"/>
            <w:tcBorders>
              <w:left w:val="nil"/>
            </w:tcBorders>
            <w:vAlign w:val="center"/>
          </w:tcPr>
          <w:p>
            <w:pPr>
              <w:snapToGrid w:val="0"/>
              <w:jc w:val="center"/>
              <w:rPr>
                <w:rFonts w:ascii="仿宋_GB2312" w:eastAsia="仿宋_GB2312"/>
                <w:sz w:val="24"/>
              </w:rPr>
            </w:pPr>
            <w:r>
              <w:rPr>
                <w:rFonts w:hint="eastAsia" w:ascii="仿宋_GB2312" w:eastAsia="仿宋_GB2312"/>
                <w:sz w:val="24"/>
              </w:rPr>
              <w:t>基教股</w:t>
            </w:r>
          </w:p>
        </w:tc>
        <w:tc>
          <w:tcPr>
            <w:tcW w:w="1270" w:type="dxa"/>
            <w:tcBorders>
              <w:left w:val="nil"/>
            </w:tcBorders>
            <w:vAlign w:val="center"/>
          </w:tcPr>
          <w:p>
            <w:pPr>
              <w:snapToGrid w:val="0"/>
              <w:jc w:val="center"/>
              <w:rPr>
                <w:rFonts w:ascii="仿宋_GB2312" w:eastAsia="仿宋_GB2312"/>
                <w:sz w:val="24"/>
              </w:rPr>
            </w:pPr>
            <w:r>
              <w:rPr>
                <w:rFonts w:hint="eastAsia" w:ascii="仿宋_GB2312" w:eastAsia="仿宋_GB2312"/>
                <w:sz w:val="24"/>
              </w:rPr>
              <w:t>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19" w:type="dxa"/>
            <w:vAlign w:val="center"/>
          </w:tcPr>
          <w:p>
            <w:pPr>
              <w:snapToGrid w:val="0"/>
              <w:jc w:val="center"/>
              <w:rPr>
                <w:rFonts w:ascii="仿宋_GB2312" w:eastAsia="仿宋_GB2312"/>
                <w:sz w:val="24"/>
              </w:rPr>
            </w:pPr>
            <w:r>
              <w:rPr>
                <w:rFonts w:ascii="仿宋_GB2312" w:eastAsia="仿宋_GB2312"/>
                <w:sz w:val="24"/>
              </w:rPr>
              <w:t>14</w:t>
            </w:r>
          </w:p>
        </w:tc>
        <w:tc>
          <w:tcPr>
            <w:tcW w:w="1439" w:type="dxa"/>
            <w:vMerge w:val="restart"/>
            <w:tcBorders>
              <w:top w:val="nil"/>
              <w:left w:val="nil"/>
            </w:tcBorders>
            <w:vAlign w:val="center"/>
          </w:tcPr>
          <w:p>
            <w:pPr>
              <w:snapToGrid w:val="0"/>
              <w:jc w:val="center"/>
              <w:rPr>
                <w:rFonts w:ascii="仿宋_GB2312" w:eastAsia="仿宋_GB2312"/>
                <w:sz w:val="24"/>
              </w:rPr>
            </w:pPr>
            <w:r>
              <w:rPr>
                <w:rFonts w:hint="eastAsia" w:ascii="仿宋_GB2312" w:eastAsia="仿宋_GB2312"/>
                <w:sz w:val="24"/>
              </w:rPr>
              <w:t>体育事业</w:t>
            </w:r>
          </w:p>
        </w:tc>
        <w:tc>
          <w:tcPr>
            <w:tcW w:w="8068" w:type="dxa"/>
            <w:tcBorders>
              <w:left w:val="nil"/>
            </w:tcBorders>
            <w:vAlign w:val="center"/>
          </w:tcPr>
          <w:p>
            <w:pPr>
              <w:snapToGrid w:val="0"/>
              <w:rPr>
                <w:rFonts w:ascii="仿宋_GB2312" w:eastAsia="仿宋_GB2312"/>
                <w:sz w:val="24"/>
              </w:rPr>
            </w:pPr>
            <w:r>
              <w:rPr>
                <w:rFonts w:hint="eastAsia" w:ascii="仿宋_GB2312" w:eastAsia="仿宋_GB2312"/>
                <w:sz w:val="24"/>
              </w:rPr>
              <w:t>完成</w:t>
            </w:r>
            <w:r>
              <w:rPr>
                <w:rFonts w:ascii="仿宋_GB2312" w:eastAsia="仿宋_GB2312"/>
                <w:sz w:val="24"/>
              </w:rPr>
              <w:t>3</w:t>
            </w:r>
            <w:r>
              <w:rPr>
                <w:rFonts w:hint="eastAsia" w:ascii="仿宋_GB2312" w:eastAsia="仿宋_GB2312"/>
                <w:sz w:val="24"/>
              </w:rPr>
              <w:t>个社会足球场建设；启动职业中专体育馆建设</w:t>
            </w:r>
          </w:p>
        </w:tc>
        <w:tc>
          <w:tcPr>
            <w:tcW w:w="1189" w:type="dxa"/>
            <w:tcBorders>
              <w:left w:val="nil"/>
            </w:tcBorders>
            <w:vAlign w:val="center"/>
          </w:tcPr>
          <w:p>
            <w:pPr>
              <w:snapToGrid w:val="0"/>
              <w:jc w:val="center"/>
              <w:rPr>
                <w:rFonts w:ascii="仿宋_GB2312" w:eastAsia="仿宋_GB2312"/>
                <w:sz w:val="24"/>
              </w:rPr>
            </w:pPr>
            <w:r>
              <w:rPr>
                <w:rFonts w:hint="eastAsia" w:ascii="仿宋_GB2312" w:eastAsia="仿宋_GB2312"/>
                <w:sz w:val="24"/>
              </w:rPr>
              <w:t>何</w:t>
            </w:r>
            <w:r>
              <w:rPr>
                <w:rFonts w:ascii="仿宋_GB2312" w:eastAsia="仿宋_GB2312"/>
                <w:sz w:val="24"/>
              </w:rPr>
              <w:t xml:space="preserve">  </w:t>
            </w:r>
            <w:r>
              <w:rPr>
                <w:rFonts w:hint="eastAsia" w:ascii="仿宋_GB2312" w:eastAsia="仿宋_GB2312"/>
                <w:sz w:val="24"/>
              </w:rPr>
              <w:t>军</w:t>
            </w:r>
          </w:p>
        </w:tc>
        <w:tc>
          <w:tcPr>
            <w:tcW w:w="1566" w:type="dxa"/>
            <w:tcBorders>
              <w:left w:val="nil"/>
            </w:tcBorders>
            <w:vAlign w:val="center"/>
          </w:tcPr>
          <w:p>
            <w:pPr>
              <w:snapToGrid w:val="0"/>
              <w:jc w:val="center"/>
              <w:rPr>
                <w:rFonts w:ascii="仿宋_GB2312" w:eastAsia="仿宋_GB2312"/>
                <w:sz w:val="24"/>
              </w:rPr>
            </w:pPr>
            <w:r>
              <w:rPr>
                <w:rFonts w:hint="eastAsia" w:ascii="仿宋_GB2312" w:eastAsia="仿宋_GB2312"/>
                <w:sz w:val="24"/>
              </w:rPr>
              <w:t>计财股</w:t>
            </w:r>
          </w:p>
        </w:tc>
        <w:tc>
          <w:tcPr>
            <w:tcW w:w="1270" w:type="dxa"/>
            <w:tcBorders>
              <w:left w:val="nil"/>
            </w:tcBorders>
            <w:vAlign w:val="center"/>
          </w:tcPr>
          <w:p>
            <w:pPr>
              <w:snapToGrid w:val="0"/>
              <w:jc w:val="center"/>
              <w:rPr>
                <w:rFonts w:ascii="仿宋_GB2312" w:eastAsia="仿宋_GB2312"/>
                <w:sz w:val="24"/>
              </w:rPr>
            </w:pPr>
            <w:r>
              <w:rPr>
                <w:rFonts w:hint="eastAsia" w:ascii="仿宋_GB2312" w:eastAsia="仿宋_GB2312"/>
                <w:sz w:val="24"/>
              </w:rPr>
              <w:t>职业中专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19" w:type="dxa"/>
            <w:vAlign w:val="center"/>
          </w:tcPr>
          <w:p>
            <w:pPr>
              <w:snapToGrid w:val="0"/>
              <w:jc w:val="center"/>
              <w:rPr>
                <w:rFonts w:ascii="仿宋_GB2312" w:eastAsia="仿宋_GB2312"/>
                <w:sz w:val="24"/>
              </w:rPr>
            </w:pPr>
            <w:r>
              <w:rPr>
                <w:rFonts w:ascii="仿宋_GB2312" w:eastAsia="仿宋_GB2312"/>
                <w:sz w:val="24"/>
              </w:rPr>
              <w:t>15</w:t>
            </w:r>
          </w:p>
        </w:tc>
        <w:tc>
          <w:tcPr>
            <w:tcW w:w="1439" w:type="dxa"/>
            <w:vMerge w:val="continue"/>
            <w:tcBorders>
              <w:top w:val="nil"/>
              <w:left w:val="nil"/>
            </w:tcBorders>
            <w:vAlign w:val="center"/>
          </w:tcPr>
          <w:p>
            <w:pPr>
              <w:widowControl/>
              <w:jc w:val="left"/>
              <w:rPr>
                <w:rFonts w:ascii="仿宋_GB2312" w:eastAsia="仿宋_GB2312"/>
                <w:sz w:val="24"/>
              </w:rPr>
            </w:pPr>
          </w:p>
        </w:tc>
        <w:tc>
          <w:tcPr>
            <w:tcW w:w="8068" w:type="dxa"/>
            <w:tcBorders>
              <w:left w:val="nil"/>
            </w:tcBorders>
            <w:vAlign w:val="center"/>
          </w:tcPr>
          <w:p>
            <w:pPr>
              <w:snapToGrid w:val="0"/>
              <w:rPr>
                <w:rFonts w:ascii="仿宋_GB2312" w:eastAsia="仿宋_GB2312"/>
                <w:sz w:val="24"/>
              </w:rPr>
            </w:pPr>
            <w:r>
              <w:rPr>
                <w:rFonts w:hint="eastAsia" w:ascii="仿宋_GB2312" w:eastAsia="仿宋_GB2312"/>
                <w:sz w:val="24"/>
              </w:rPr>
              <w:t>选拔培养跆拳道专业运动员，备战</w:t>
            </w:r>
            <w:r>
              <w:rPr>
                <w:rFonts w:ascii="仿宋_GB2312" w:eastAsia="仿宋_GB2312"/>
                <w:sz w:val="24"/>
              </w:rPr>
              <w:t>2022</w:t>
            </w:r>
            <w:r>
              <w:rPr>
                <w:rFonts w:hint="eastAsia" w:ascii="仿宋_GB2312" w:eastAsia="仿宋_GB2312"/>
                <w:sz w:val="24"/>
              </w:rPr>
              <w:t>年省运会</w:t>
            </w:r>
          </w:p>
        </w:tc>
        <w:tc>
          <w:tcPr>
            <w:tcW w:w="1189" w:type="dxa"/>
            <w:tcBorders>
              <w:left w:val="nil"/>
            </w:tcBorders>
            <w:vAlign w:val="center"/>
          </w:tcPr>
          <w:p>
            <w:pPr>
              <w:snapToGrid w:val="0"/>
              <w:jc w:val="center"/>
              <w:rPr>
                <w:rFonts w:ascii="仿宋_GB2312" w:eastAsia="仿宋_GB2312"/>
                <w:sz w:val="24"/>
              </w:rPr>
            </w:pPr>
            <w:r>
              <w:rPr>
                <w:rFonts w:hint="eastAsia" w:ascii="仿宋_GB2312" w:eastAsia="仿宋_GB2312"/>
                <w:sz w:val="24"/>
              </w:rPr>
              <w:t>戴方栎</w:t>
            </w:r>
          </w:p>
        </w:tc>
        <w:tc>
          <w:tcPr>
            <w:tcW w:w="1566" w:type="dxa"/>
            <w:tcBorders>
              <w:left w:val="nil"/>
            </w:tcBorders>
            <w:vAlign w:val="center"/>
          </w:tcPr>
          <w:p>
            <w:pPr>
              <w:snapToGrid w:val="0"/>
              <w:jc w:val="center"/>
              <w:rPr>
                <w:rFonts w:ascii="仿宋_GB2312" w:eastAsia="仿宋_GB2312"/>
                <w:sz w:val="24"/>
              </w:rPr>
            </w:pPr>
            <w:r>
              <w:rPr>
                <w:rFonts w:hint="eastAsia" w:ascii="仿宋_GB2312" w:eastAsia="仿宋_GB2312"/>
                <w:sz w:val="24"/>
              </w:rPr>
              <w:t>社会体育股</w:t>
            </w:r>
          </w:p>
        </w:tc>
        <w:tc>
          <w:tcPr>
            <w:tcW w:w="1270" w:type="dxa"/>
            <w:tcBorders>
              <w:left w:val="nil"/>
            </w:tcBorders>
            <w:vAlign w:val="center"/>
          </w:tcPr>
          <w:p>
            <w:pPr>
              <w:snapToGrid w:val="0"/>
              <w:jc w:val="center"/>
              <w:rPr>
                <w:rFonts w:ascii="仿宋_GB2312" w:eastAsia="仿宋_GB2312"/>
                <w:sz w:val="24"/>
              </w:rPr>
            </w:pPr>
            <w:r>
              <w:rPr>
                <w:rFonts w:hint="eastAsia" w:ascii="仿宋_GB2312" w:eastAsia="仿宋_GB2312"/>
                <w:sz w:val="24"/>
              </w:rPr>
              <w:t>体校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19" w:type="dxa"/>
            <w:vAlign w:val="center"/>
          </w:tcPr>
          <w:p>
            <w:pPr>
              <w:snapToGrid w:val="0"/>
              <w:jc w:val="center"/>
              <w:rPr>
                <w:rFonts w:ascii="仿宋_GB2312" w:eastAsia="仿宋_GB2312"/>
                <w:sz w:val="24"/>
              </w:rPr>
            </w:pPr>
            <w:r>
              <w:rPr>
                <w:rFonts w:ascii="仿宋_GB2312" w:eastAsia="仿宋_GB2312"/>
                <w:sz w:val="24"/>
              </w:rPr>
              <w:t>16</w:t>
            </w:r>
          </w:p>
        </w:tc>
        <w:tc>
          <w:tcPr>
            <w:tcW w:w="1439" w:type="dxa"/>
            <w:tcBorders>
              <w:left w:val="nil"/>
            </w:tcBorders>
            <w:vAlign w:val="center"/>
          </w:tcPr>
          <w:p>
            <w:pPr>
              <w:snapToGrid w:val="0"/>
              <w:jc w:val="center"/>
              <w:rPr>
                <w:rFonts w:ascii="仿宋_GB2312" w:eastAsia="仿宋_GB2312"/>
                <w:sz w:val="24"/>
              </w:rPr>
            </w:pPr>
            <w:r>
              <w:rPr>
                <w:rFonts w:hint="eastAsia" w:ascii="仿宋_GB2312" w:eastAsia="仿宋_GB2312"/>
                <w:sz w:val="24"/>
              </w:rPr>
              <w:t>机关建设</w:t>
            </w:r>
          </w:p>
        </w:tc>
        <w:tc>
          <w:tcPr>
            <w:tcW w:w="8068" w:type="dxa"/>
            <w:tcBorders>
              <w:left w:val="nil"/>
            </w:tcBorders>
            <w:vAlign w:val="center"/>
          </w:tcPr>
          <w:p>
            <w:pPr>
              <w:snapToGrid w:val="0"/>
              <w:rPr>
                <w:rFonts w:ascii="仿宋_GB2312" w:eastAsia="仿宋_GB2312"/>
                <w:sz w:val="24"/>
              </w:rPr>
            </w:pPr>
            <w:r>
              <w:rPr>
                <w:rFonts w:hint="eastAsia" w:ascii="仿宋_GB2312" w:eastAsia="仿宋_GB2312"/>
                <w:sz w:val="24"/>
              </w:rPr>
              <w:t>完成机关搬迁，加强机关文化建设，争创市级文明单位</w:t>
            </w:r>
          </w:p>
        </w:tc>
        <w:tc>
          <w:tcPr>
            <w:tcW w:w="1189" w:type="dxa"/>
            <w:tcBorders>
              <w:left w:val="nil"/>
            </w:tcBorders>
            <w:vAlign w:val="center"/>
          </w:tcPr>
          <w:p>
            <w:pPr>
              <w:snapToGrid w:val="0"/>
              <w:jc w:val="center"/>
              <w:rPr>
                <w:rFonts w:ascii="仿宋_GB2312" w:eastAsia="仿宋_GB2312"/>
                <w:sz w:val="24"/>
              </w:rPr>
            </w:pPr>
            <w:r>
              <w:rPr>
                <w:rFonts w:hint="eastAsia" w:ascii="仿宋_GB2312" w:eastAsia="仿宋_GB2312"/>
                <w:sz w:val="24"/>
              </w:rPr>
              <w:t>杨宏发</w:t>
            </w:r>
          </w:p>
        </w:tc>
        <w:tc>
          <w:tcPr>
            <w:tcW w:w="1566" w:type="dxa"/>
            <w:tcBorders>
              <w:left w:val="nil"/>
            </w:tcBorders>
            <w:vAlign w:val="center"/>
          </w:tcPr>
          <w:p>
            <w:pPr>
              <w:snapToGrid w:val="0"/>
              <w:jc w:val="center"/>
              <w:rPr>
                <w:rFonts w:ascii="仿宋_GB2312" w:eastAsia="仿宋_GB2312"/>
                <w:sz w:val="24"/>
              </w:rPr>
            </w:pPr>
            <w:r>
              <w:rPr>
                <w:rFonts w:hint="eastAsia" w:ascii="仿宋_GB2312" w:eastAsia="仿宋_GB2312"/>
                <w:sz w:val="24"/>
              </w:rPr>
              <w:t>办公室</w:t>
            </w:r>
          </w:p>
        </w:tc>
        <w:tc>
          <w:tcPr>
            <w:tcW w:w="1270" w:type="dxa"/>
            <w:tcBorders>
              <w:left w:val="nil"/>
            </w:tcBorders>
            <w:vAlign w:val="center"/>
          </w:tcPr>
          <w:p>
            <w:pPr>
              <w:snapToGrid w:val="0"/>
              <w:jc w:val="center"/>
              <w:rPr>
                <w:rFonts w:ascii="仿宋_GB2312" w:eastAsia="仿宋_GB2312"/>
                <w:sz w:val="24"/>
              </w:rPr>
            </w:pPr>
          </w:p>
        </w:tc>
      </w:tr>
    </w:tbl>
    <w:p>
      <w:pPr>
        <w:rPr>
          <w:sz w:val="2"/>
          <w:szCs w:val="2"/>
        </w:rPr>
      </w:pPr>
      <w:r>
        <w:rPr>
          <w:sz w:val="2"/>
          <w:szCs w:val="2"/>
        </w:rPr>
        <w:t xml:space="preserve"> </w:t>
      </w:r>
    </w:p>
    <w:sectPr>
      <w:pgSz w:w="16838" w:h="11906" w:orient="landscape"/>
      <w:pgMar w:top="1701" w:right="1418" w:bottom="1134"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2"/>
      </w:rPr>
    </w:pPr>
    <w:r>
      <w:rPr>
        <w:sz w:val="22"/>
      </w:rPr>
      <w:t>-</w:t>
    </w:r>
    <w:r>
      <w:rPr>
        <w:sz w:val="22"/>
      </w:rPr>
      <w:fldChar w:fldCharType="begin"/>
    </w:r>
    <w:r>
      <w:rPr>
        <w:sz w:val="22"/>
      </w:rPr>
      <w:instrText xml:space="preserve"> page </w:instrText>
    </w:r>
    <w:r>
      <w:rPr>
        <w:sz w:val="22"/>
      </w:rPr>
      <w:fldChar w:fldCharType="separate"/>
    </w:r>
    <w:r>
      <w:rPr>
        <w:sz w:val="22"/>
      </w:rPr>
      <w:t>14</w:t>
    </w:r>
    <w:r>
      <w:rPr>
        <w:sz w:val="22"/>
      </w:rPr>
      <w:fldChar w:fldCharType="end"/>
    </w:r>
    <w:r>
      <w:rPr>
        <w:sz w:val="22"/>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9D112D3"/>
    <w:rsid w:val="000165CA"/>
    <w:rsid w:val="00286A04"/>
    <w:rsid w:val="003B4E6D"/>
    <w:rsid w:val="004A57A1"/>
    <w:rsid w:val="004E6C00"/>
    <w:rsid w:val="0054054F"/>
    <w:rsid w:val="00617BD9"/>
    <w:rsid w:val="00AD2C9B"/>
    <w:rsid w:val="00B357B3"/>
    <w:rsid w:val="00D94D1F"/>
    <w:rsid w:val="00F05E4E"/>
    <w:rsid w:val="00F97176"/>
    <w:rsid w:val="00FC6C7A"/>
    <w:rsid w:val="092F57A4"/>
    <w:rsid w:val="378E544A"/>
    <w:rsid w:val="44CF7CF5"/>
    <w:rsid w:val="4AAA68CA"/>
    <w:rsid w:val="59477CFC"/>
    <w:rsid w:val="67D4223E"/>
    <w:rsid w:val="79D112D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semiHidden/>
    <w:uiPriority w:val="99"/>
    <w:rPr>
      <w:sz w:val="18"/>
      <w:szCs w:val="18"/>
    </w:rPr>
  </w:style>
  <w:style w:type="character" w:customStyle="1" w:styleId="7">
    <w:name w:val="Footer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14</Pages>
  <Words>1251</Words>
  <Characters>7137</Characters>
  <Lines>0</Lines>
  <Paragraphs>0</Paragraphs>
  <TotalTime>0</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2020-04-02T01:31:00Z</dcterms:created>
  <dc:creator>乡野闲士</dc:creator>
  <cp:lastModifiedBy>C</cp:lastModifiedBy>
  <cp:lastPrinted>2020-04-04T02:08:00Z</cp:lastPrinted>
  <dcterms:modified xsi:type="dcterms:W3CDTF">2020-04-04T03:04:39Z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